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D7D33" w14:textId="77777777" w:rsidR="00986FD6" w:rsidRPr="00CF2F99" w:rsidRDefault="00986FD6" w:rsidP="00986FD6">
      <w:pPr>
        <w:pStyle w:val="Heading1"/>
        <w:rPr>
          <w:rFonts w:eastAsia="Times New Roman"/>
          <w:lang w:val="en-DE" w:eastAsia="en-GB"/>
        </w:rPr>
      </w:pPr>
      <w:r w:rsidRPr="00986FD6">
        <w:rPr>
          <w:lang w:val="en-US"/>
        </w:rPr>
        <w:t xml:space="preserve">Handouts </w:t>
      </w:r>
      <w:bookmarkStart w:id="0" w:name="_Toc197867284"/>
      <w:r w:rsidRPr="00CF2F99">
        <w:rPr>
          <w:rFonts w:eastAsia="Times New Roman"/>
          <w:lang w:val="en-DE" w:eastAsia="en-GB"/>
        </w:rPr>
        <w:t>Comparative Insights and Lessons for Tajikistan</w:t>
      </w:r>
      <w:bookmarkEnd w:id="0"/>
    </w:p>
    <w:p w14:paraId="2E090B2F" w14:textId="77777777" w:rsidR="00986FD6" w:rsidRDefault="00986FD6" w:rsidP="00986FD6">
      <w:pPr>
        <w:spacing w:before="100" w:beforeAutospacing="1" w:after="100" w:afterAutospacing="1"/>
        <w:rPr>
          <w:color w:val="000000"/>
        </w:rPr>
      </w:pPr>
      <w:r>
        <w:rPr>
          <w:color w:val="000000"/>
        </w:rPr>
        <w:t>An analysis of seven diverse country cases reveals common themes and important contrasts in how ministries of education are applying artificial intelligence (AI) to address sectoral challenges. The following insights can guide Tajikistan in shaping its AI integration strategy:</w:t>
      </w:r>
    </w:p>
    <w:p w14:paraId="2BFED514" w14:textId="77777777" w:rsidR="00986FD6" w:rsidRPr="00AA2AEF" w:rsidRDefault="00986FD6" w:rsidP="00986FD6">
      <w:pPr>
        <w:pStyle w:val="Heading2"/>
      </w:pPr>
      <w:r w:rsidRPr="00AA2AEF">
        <w:rPr>
          <w:rStyle w:val="Strong"/>
          <w:rFonts w:eastAsiaTheme="majorEastAsia"/>
        </w:rPr>
        <w:t>1. Strategic Focus on Problem-Solving</w:t>
      </w:r>
    </w:p>
    <w:p w14:paraId="6A413349" w14:textId="77777777" w:rsidR="00986FD6" w:rsidRDefault="00986FD6" w:rsidP="00986FD6">
      <w:pPr>
        <w:spacing w:before="100" w:beforeAutospacing="1" w:after="100" w:afterAutospacing="1"/>
        <w:rPr>
          <w:color w:val="000000"/>
        </w:rPr>
      </w:pPr>
      <w:r>
        <w:rPr>
          <w:color w:val="000000"/>
        </w:rPr>
        <w:t>All ministries studied applied AI to address specific, pressing challenges—such as preventing dropouts (Peru), alleviating teacher shortages (Ecuador), or improving resource allocation (Philippines). The most successful initiatives were not technology-driven but problem-driven. While some countries like China and the Philippines adopted broad, multi-domain AI strategies covering areas from student learning to infrastructure planning, others such as Sierra Leone and Peru started with narrowly focused applications like data hubs or early warning systems.</w:t>
      </w:r>
    </w:p>
    <w:p w14:paraId="62595B3F" w14:textId="77777777" w:rsidR="00986FD6" w:rsidRDefault="00986FD6" w:rsidP="00986FD6">
      <w:pPr>
        <w:spacing w:before="100" w:beforeAutospacing="1" w:after="100" w:afterAutospacing="1"/>
        <w:rPr>
          <w:color w:val="000000"/>
        </w:rPr>
      </w:pPr>
      <w:r>
        <w:rPr>
          <w:rStyle w:val="Strong"/>
          <w:color w:val="000000"/>
        </w:rPr>
        <w:t>Lesson for Tajikistan:</w:t>
      </w:r>
      <w:r>
        <w:rPr>
          <w:color w:val="000000"/>
        </w:rPr>
        <w:br/>
        <w:t>Begin with a focused pilot addressing a critical national issue—such as teacher deployment or dropout prevention—or, if capacity allows, develop a broader AI roadmap. In either case, ensure each use-case is directly aligned with strategic education goals.</w:t>
      </w:r>
    </w:p>
    <w:p w14:paraId="190E7707" w14:textId="77777777" w:rsidR="00986FD6" w:rsidRDefault="00986FD6" w:rsidP="00986FD6">
      <w:pPr>
        <w:spacing w:after="0"/>
      </w:pPr>
    </w:p>
    <w:p w14:paraId="5AF8F3AD" w14:textId="77777777" w:rsidR="00986FD6" w:rsidRPr="00AA2AEF" w:rsidRDefault="00986FD6" w:rsidP="00986FD6">
      <w:pPr>
        <w:pStyle w:val="Heading2"/>
      </w:pPr>
      <w:r w:rsidRPr="00AA2AEF">
        <w:rPr>
          <w:rStyle w:val="Strong"/>
          <w:rFonts w:eastAsiaTheme="majorEastAsia"/>
        </w:rPr>
        <w:t>2. Human Capacity Is Foundational</w:t>
      </w:r>
    </w:p>
    <w:p w14:paraId="1BA90D2A" w14:textId="77777777" w:rsidR="00986FD6" w:rsidRDefault="00986FD6" w:rsidP="00986FD6">
      <w:pPr>
        <w:spacing w:before="100" w:beforeAutospacing="1" w:after="100" w:afterAutospacing="1"/>
        <w:rPr>
          <w:color w:val="000000"/>
        </w:rPr>
      </w:pPr>
      <w:r>
        <w:rPr>
          <w:color w:val="000000"/>
        </w:rPr>
        <w:t>All countries emphasized capacity development. From Kenya’s AI teacher workshops (in partnership with Microsoft) to China’s nationwide training of millions of educators, the development of human resources was central. Ministries often built in-house technical teams or partnered with local experts, as seen in the Philippines’ E-CAIR unit and Sierra Leone’s DSTI.</w:t>
      </w:r>
    </w:p>
    <w:p w14:paraId="3F6ACB84" w14:textId="77777777" w:rsidR="00986FD6" w:rsidRDefault="00986FD6" w:rsidP="00986FD6">
      <w:pPr>
        <w:spacing w:before="100" w:beforeAutospacing="1" w:after="100" w:afterAutospacing="1"/>
        <w:rPr>
          <w:color w:val="000000"/>
        </w:rPr>
      </w:pPr>
      <w:r>
        <w:rPr>
          <w:color w:val="000000"/>
        </w:rPr>
        <w:t>Ministries that succeeded did not rely solely on outsourcing—they cultivated internal understanding and governance capacity. Peer learning networks also played a role, with examples from Uruguay and China showing how communities of practice can accelerate adoption.</w:t>
      </w:r>
    </w:p>
    <w:p w14:paraId="7F0E56D3" w14:textId="77777777" w:rsidR="00986FD6" w:rsidRDefault="00986FD6" w:rsidP="00986FD6">
      <w:pPr>
        <w:spacing w:before="100" w:beforeAutospacing="1" w:after="100" w:afterAutospacing="1"/>
        <w:rPr>
          <w:color w:val="000000"/>
        </w:rPr>
      </w:pPr>
      <w:r>
        <w:rPr>
          <w:rStyle w:val="Strong"/>
          <w:color w:val="000000"/>
        </w:rPr>
        <w:t>Lesson for Tajikistan:</w:t>
      </w:r>
      <w:r>
        <w:rPr>
          <w:color w:val="000000"/>
        </w:rPr>
        <w:br/>
        <w:t>Pair any AI initiative with targeted staff training and consider establishing a small internal AI unit. Encourage peer learning by cultivating a cohort of “AI in Education” champions among early-adopter teachers or officials.</w:t>
      </w:r>
    </w:p>
    <w:p w14:paraId="6425CE9E" w14:textId="77777777" w:rsidR="00986FD6" w:rsidRDefault="00986FD6" w:rsidP="00986FD6">
      <w:pPr>
        <w:spacing w:after="0"/>
      </w:pPr>
    </w:p>
    <w:p w14:paraId="197467E1" w14:textId="77777777" w:rsidR="00986FD6" w:rsidRPr="00AA2AEF" w:rsidRDefault="00986FD6" w:rsidP="00986FD6">
      <w:pPr>
        <w:pStyle w:val="Heading2"/>
      </w:pPr>
      <w:r w:rsidRPr="00AA2AEF">
        <w:rPr>
          <w:rStyle w:val="Strong"/>
          <w:rFonts w:eastAsiaTheme="majorEastAsia"/>
        </w:rPr>
        <w:t>3. Governance and Change Management Are Critical</w:t>
      </w:r>
    </w:p>
    <w:p w14:paraId="21C1EC78" w14:textId="77777777" w:rsidR="00986FD6" w:rsidRDefault="00986FD6" w:rsidP="00986FD6">
      <w:pPr>
        <w:spacing w:before="100" w:beforeAutospacing="1" w:after="100" w:afterAutospacing="1"/>
        <w:rPr>
          <w:color w:val="000000"/>
        </w:rPr>
      </w:pPr>
      <w:r>
        <w:rPr>
          <w:color w:val="000000"/>
        </w:rPr>
        <w:t xml:space="preserve">Successful AI integration required ministries to innovate structurally and procedurally. Countries created new bodies (e.g., Plan </w:t>
      </w:r>
      <w:proofErr w:type="spellStart"/>
      <w:r>
        <w:rPr>
          <w:color w:val="000000"/>
        </w:rPr>
        <w:t>Ceibal</w:t>
      </w:r>
      <w:proofErr w:type="spellEnd"/>
      <w:r>
        <w:rPr>
          <w:color w:val="000000"/>
        </w:rPr>
        <w:t xml:space="preserve"> in Uruguay; E-CAIR in the Philippines) and updated policy frameworks (e.g., Peru institutionalized its early warning system; China mandated open resource sharing).</w:t>
      </w:r>
    </w:p>
    <w:p w14:paraId="2799873F" w14:textId="77777777" w:rsidR="00986FD6" w:rsidRDefault="00986FD6" w:rsidP="00986FD6">
      <w:pPr>
        <w:spacing w:before="100" w:beforeAutospacing="1" w:after="100" w:afterAutospacing="1"/>
        <w:rPr>
          <w:color w:val="000000"/>
        </w:rPr>
      </w:pPr>
      <w:r>
        <w:rPr>
          <w:color w:val="000000"/>
        </w:rPr>
        <w:lastRenderedPageBreak/>
        <w:t>Strong governance included establishing data privacy rules, stakeholder engagement (e.g., unions in Ecuador, parents in the Philippines), and aligning AI with broader reform agendas. Ministries often had to streamline data flows, adjust staff roles, and introduce ethical AI guidelines.</w:t>
      </w:r>
    </w:p>
    <w:p w14:paraId="47E63296" w14:textId="77777777" w:rsidR="00986FD6" w:rsidRDefault="00986FD6" w:rsidP="00986FD6">
      <w:pPr>
        <w:spacing w:before="100" w:beforeAutospacing="1" w:after="100" w:afterAutospacing="1"/>
        <w:rPr>
          <w:color w:val="000000"/>
        </w:rPr>
      </w:pPr>
      <w:r>
        <w:rPr>
          <w:rStyle w:val="Strong"/>
          <w:color w:val="000000"/>
        </w:rPr>
        <w:t>Lesson for Tajikistan:</w:t>
      </w:r>
      <w:r>
        <w:rPr>
          <w:color w:val="000000"/>
        </w:rPr>
        <w:br/>
        <w:t>AI integration may require revising EMIS policies, developing data protection regulations (if not already in place), and forming cross-departmental working groups. To manage change effectively, clearly communicate that AI augments rather than replaces human roles, and pilot initiatives to build user confidence before scaling.</w:t>
      </w:r>
    </w:p>
    <w:p w14:paraId="652F6EE5" w14:textId="77777777" w:rsidR="00986FD6" w:rsidRDefault="00986FD6" w:rsidP="00986FD6">
      <w:pPr>
        <w:spacing w:after="0"/>
      </w:pPr>
    </w:p>
    <w:p w14:paraId="67BE2F31" w14:textId="77777777" w:rsidR="00986FD6" w:rsidRPr="00AA2AEF" w:rsidRDefault="00986FD6" w:rsidP="00986FD6">
      <w:pPr>
        <w:pStyle w:val="Heading2"/>
      </w:pPr>
      <w:r w:rsidRPr="00AA2AEF">
        <w:rPr>
          <w:rStyle w:val="Strong"/>
          <w:rFonts w:eastAsiaTheme="majorEastAsia"/>
        </w:rPr>
        <w:t>4. Tangible Impact on Performance and Equity</w:t>
      </w:r>
    </w:p>
    <w:p w14:paraId="06254924" w14:textId="77777777" w:rsidR="00986FD6" w:rsidRDefault="00986FD6" w:rsidP="00986FD6">
      <w:pPr>
        <w:spacing w:before="100" w:beforeAutospacing="1" w:after="100" w:afterAutospacing="1"/>
        <w:rPr>
          <w:color w:val="000000"/>
        </w:rPr>
      </w:pPr>
      <w:r>
        <w:rPr>
          <w:color w:val="000000"/>
        </w:rPr>
        <w:t>AI tools contributed to more efficient, accurate, and equitable decision-making. Examples include:</w:t>
      </w:r>
    </w:p>
    <w:p w14:paraId="5F73917D" w14:textId="77777777" w:rsidR="00986FD6" w:rsidRDefault="00986FD6" w:rsidP="00986FD6">
      <w:pPr>
        <w:numPr>
          <w:ilvl w:val="0"/>
          <w:numId w:val="35"/>
        </w:numPr>
        <w:spacing w:before="100" w:beforeAutospacing="1" w:after="100" w:afterAutospacing="1" w:line="240" w:lineRule="auto"/>
        <w:rPr>
          <w:color w:val="000000"/>
        </w:rPr>
      </w:pPr>
      <w:r>
        <w:rPr>
          <w:rStyle w:val="Strong"/>
          <w:color w:val="000000"/>
        </w:rPr>
        <w:t>Ecuador’s teacher matching platform</w:t>
      </w:r>
      <w:r>
        <w:rPr>
          <w:color w:val="000000"/>
        </w:rPr>
        <w:t xml:space="preserve">, which reduced vacancy </w:t>
      </w:r>
      <w:proofErr w:type="gramStart"/>
      <w:r>
        <w:rPr>
          <w:color w:val="000000"/>
        </w:rPr>
        <w:t>durations;</w:t>
      </w:r>
      <w:proofErr w:type="gramEnd"/>
    </w:p>
    <w:p w14:paraId="6FA15714" w14:textId="77777777" w:rsidR="00986FD6" w:rsidRDefault="00986FD6" w:rsidP="00986FD6">
      <w:pPr>
        <w:numPr>
          <w:ilvl w:val="0"/>
          <w:numId w:val="35"/>
        </w:numPr>
        <w:spacing w:before="100" w:beforeAutospacing="1" w:after="100" w:afterAutospacing="1" w:line="240" w:lineRule="auto"/>
        <w:rPr>
          <w:color w:val="000000"/>
        </w:rPr>
      </w:pPr>
      <w:r>
        <w:rPr>
          <w:rStyle w:val="Strong"/>
          <w:color w:val="000000"/>
        </w:rPr>
        <w:t xml:space="preserve">Peru’s </w:t>
      </w:r>
      <w:proofErr w:type="spellStart"/>
      <w:r>
        <w:rPr>
          <w:rStyle w:val="Strong"/>
          <w:color w:val="000000"/>
        </w:rPr>
        <w:t>Alerta</w:t>
      </w:r>
      <w:proofErr w:type="spellEnd"/>
      <w:r>
        <w:rPr>
          <w:rStyle w:val="Strong"/>
          <w:color w:val="000000"/>
        </w:rPr>
        <w:t xml:space="preserve"> Escuela</w:t>
      </w:r>
      <w:r>
        <w:rPr>
          <w:color w:val="000000"/>
        </w:rPr>
        <w:t xml:space="preserve">, which triggered timely dropout </w:t>
      </w:r>
      <w:proofErr w:type="gramStart"/>
      <w:r>
        <w:rPr>
          <w:color w:val="000000"/>
        </w:rPr>
        <w:t>interventions;</w:t>
      </w:r>
      <w:proofErr w:type="gramEnd"/>
    </w:p>
    <w:p w14:paraId="1B967EF9" w14:textId="77777777" w:rsidR="00986FD6" w:rsidRDefault="00986FD6" w:rsidP="00986FD6">
      <w:pPr>
        <w:numPr>
          <w:ilvl w:val="0"/>
          <w:numId w:val="35"/>
        </w:numPr>
        <w:spacing w:before="100" w:beforeAutospacing="1" w:after="100" w:afterAutospacing="1" w:line="240" w:lineRule="auto"/>
        <w:rPr>
          <w:color w:val="000000"/>
        </w:rPr>
      </w:pPr>
      <w:r>
        <w:rPr>
          <w:rStyle w:val="Strong"/>
          <w:color w:val="000000"/>
        </w:rPr>
        <w:t>The Philippines’ infrastructure mapping AI</w:t>
      </w:r>
      <w:r>
        <w:rPr>
          <w:color w:val="000000"/>
        </w:rPr>
        <w:t xml:space="preserve">, which improved resource </w:t>
      </w:r>
      <w:proofErr w:type="gramStart"/>
      <w:r>
        <w:rPr>
          <w:color w:val="000000"/>
        </w:rPr>
        <w:t>targeting;</w:t>
      </w:r>
      <w:proofErr w:type="gramEnd"/>
    </w:p>
    <w:p w14:paraId="7791CEBA" w14:textId="77777777" w:rsidR="00986FD6" w:rsidRDefault="00986FD6" w:rsidP="00986FD6">
      <w:pPr>
        <w:numPr>
          <w:ilvl w:val="0"/>
          <w:numId w:val="35"/>
        </w:numPr>
        <w:spacing w:before="100" w:beforeAutospacing="1" w:after="100" w:afterAutospacing="1" w:line="240" w:lineRule="auto"/>
        <w:rPr>
          <w:color w:val="000000"/>
        </w:rPr>
      </w:pPr>
      <w:r>
        <w:rPr>
          <w:rStyle w:val="Strong"/>
          <w:color w:val="000000"/>
        </w:rPr>
        <w:t>China’s SEC platform</w:t>
      </w:r>
      <w:r>
        <w:rPr>
          <w:color w:val="000000"/>
        </w:rPr>
        <w:t>, which personalized learning for millions.</w:t>
      </w:r>
    </w:p>
    <w:p w14:paraId="2FB49F38" w14:textId="77777777" w:rsidR="00986FD6" w:rsidRDefault="00986FD6" w:rsidP="00986FD6">
      <w:pPr>
        <w:spacing w:before="100" w:beforeAutospacing="1" w:after="100" w:afterAutospacing="1"/>
        <w:rPr>
          <w:color w:val="000000"/>
        </w:rPr>
      </w:pPr>
      <w:r>
        <w:rPr>
          <w:color w:val="000000"/>
        </w:rPr>
        <w:t>Several initiatives targeted equity: Sierra Leone’s data hub highlighted underserved groups; Uruguay’s digital platform extended elite content to rural learners; China prioritized under-resourced regions.</w:t>
      </w:r>
    </w:p>
    <w:p w14:paraId="3F4D0587" w14:textId="77777777" w:rsidR="00986FD6" w:rsidRPr="00AA2AEF" w:rsidRDefault="00986FD6" w:rsidP="00986FD6">
      <w:pPr>
        <w:spacing w:before="100" w:beforeAutospacing="1" w:after="100" w:afterAutospacing="1"/>
        <w:rPr>
          <w:color w:val="000000"/>
        </w:rPr>
      </w:pPr>
      <w:r>
        <w:rPr>
          <w:rStyle w:val="Strong"/>
          <w:color w:val="000000"/>
        </w:rPr>
        <w:t>Lesson for Tajikistan:</w:t>
      </w:r>
      <w:r>
        <w:rPr>
          <w:color w:val="000000"/>
        </w:rPr>
        <w:br/>
        <w:t xml:space="preserve">Direct AI efforts toward equity-enhancing goals—for instance, identifying struggling schools in GBAO or </w:t>
      </w:r>
      <w:proofErr w:type="spellStart"/>
      <w:r>
        <w:rPr>
          <w:color w:val="000000"/>
        </w:rPr>
        <w:t>Khatlon</w:t>
      </w:r>
      <w:proofErr w:type="spellEnd"/>
      <w:r>
        <w:rPr>
          <w:color w:val="000000"/>
        </w:rPr>
        <w:t xml:space="preserve">. Over time, AI tools can </w:t>
      </w:r>
      <w:proofErr w:type="spellStart"/>
      <w:r>
        <w:rPr>
          <w:color w:val="000000"/>
        </w:rPr>
        <w:t>instill</w:t>
      </w:r>
      <w:proofErr w:type="spellEnd"/>
      <w:r>
        <w:rPr>
          <w:color w:val="000000"/>
        </w:rPr>
        <w:t xml:space="preserve"> a culture of evidence-based planning, as demonstrated in Peru and China</w:t>
      </w:r>
    </w:p>
    <w:p w14:paraId="08D9F240" w14:textId="77777777" w:rsidR="00986FD6" w:rsidRPr="00AA2AEF" w:rsidRDefault="00986FD6" w:rsidP="00986FD6">
      <w:pPr>
        <w:pStyle w:val="Heading2"/>
      </w:pPr>
      <w:r w:rsidRPr="00AA2AEF">
        <w:rPr>
          <w:rStyle w:val="Strong"/>
          <w:rFonts w:eastAsiaTheme="majorEastAsia"/>
        </w:rPr>
        <w:t>5. Enabling Factors for Success</w:t>
      </w:r>
    </w:p>
    <w:p w14:paraId="2C2F2B70" w14:textId="77777777" w:rsidR="00986FD6" w:rsidRDefault="00986FD6" w:rsidP="00986FD6">
      <w:pPr>
        <w:spacing w:before="100" w:beforeAutospacing="1" w:after="100" w:afterAutospacing="1"/>
        <w:rPr>
          <w:color w:val="000000"/>
        </w:rPr>
      </w:pPr>
      <w:r>
        <w:rPr>
          <w:color w:val="000000"/>
        </w:rPr>
        <w:t>Across all countries, the following enablers were consistently observed:</w:t>
      </w:r>
    </w:p>
    <w:p w14:paraId="28A22548" w14:textId="77777777" w:rsidR="00986FD6" w:rsidRDefault="00986FD6" w:rsidP="00986FD6">
      <w:pPr>
        <w:numPr>
          <w:ilvl w:val="0"/>
          <w:numId w:val="36"/>
        </w:numPr>
        <w:spacing w:before="100" w:beforeAutospacing="1" w:after="100" w:afterAutospacing="1" w:line="240" w:lineRule="auto"/>
        <w:rPr>
          <w:color w:val="000000"/>
        </w:rPr>
      </w:pPr>
      <w:r>
        <w:rPr>
          <w:rStyle w:val="Strong"/>
          <w:color w:val="000000"/>
        </w:rPr>
        <w:t>Committed leadership</w:t>
      </w:r>
      <w:r>
        <w:rPr>
          <w:rStyle w:val="apple-converted-space"/>
          <w:color w:val="000000"/>
        </w:rPr>
        <w:t> </w:t>
      </w:r>
      <w:r>
        <w:rPr>
          <w:color w:val="000000"/>
        </w:rPr>
        <w:t>(e.g., visionary ministers in Sierra Leone and Uruguay</w:t>
      </w:r>
      <w:proofErr w:type="gramStart"/>
      <w:r>
        <w:rPr>
          <w:color w:val="000000"/>
        </w:rPr>
        <w:t>);</w:t>
      </w:r>
      <w:proofErr w:type="gramEnd"/>
    </w:p>
    <w:p w14:paraId="6F7CFA78" w14:textId="77777777" w:rsidR="00986FD6" w:rsidRDefault="00986FD6" w:rsidP="00986FD6">
      <w:pPr>
        <w:numPr>
          <w:ilvl w:val="0"/>
          <w:numId w:val="36"/>
        </w:numPr>
        <w:spacing w:before="100" w:beforeAutospacing="1" w:after="100" w:afterAutospacing="1" w:line="240" w:lineRule="auto"/>
        <w:rPr>
          <w:color w:val="000000"/>
        </w:rPr>
      </w:pPr>
      <w:r>
        <w:rPr>
          <w:rStyle w:val="Strong"/>
          <w:color w:val="000000"/>
        </w:rPr>
        <w:t>High-quality data</w:t>
      </w:r>
      <w:r>
        <w:rPr>
          <w:color w:val="000000"/>
        </w:rPr>
        <w:t xml:space="preserve">, with “garbage in, garbage out” a common </w:t>
      </w:r>
      <w:proofErr w:type="gramStart"/>
      <w:r>
        <w:rPr>
          <w:color w:val="000000"/>
        </w:rPr>
        <w:t>refrain;</w:t>
      </w:r>
      <w:proofErr w:type="gramEnd"/>
    </w:p>
    <w:p w14:paraId="28A1BA17" w14:textId="77777777" w:rsidR="00986FD6" w:rsidRDefault="00986FD6" w:rsidP="00986FD6">
      <w:pPr>
        <w:numPr>
          <w:ilvl w:val="0"/>
          <w:numId w:val="36"/>
        </w:numPr>
        <w:spacing w:before="100" w:beforeAutospacing="1" w:after="100" w:afterAutospacing="1" w:line="240" w:lineRule="auto"/>
        <w:rPr>
          <w:color w:val="000000"/>
        </w:rPr>
      </w:pPr>
      <w:r>
        <w:rPr>
          <w:rStyle w:val="Strong"/>
          <w:color w:val="000000"/>
        </w:rPr>
        <w:t>Strategic partnerships</w:t>
      </w:r>
      <w:r>
        <w:rPr>
          <w:color w:val="000000"/>
        </w:rPr>
        <w:t>, such as EdTech Hub (Kenya), IDB (Ecuador), and UNICEF/UNESCO (multiple countries).</w:t>
      </w:r>
    </w:p>
    <w:p w14:paraId="5F6CDECB" w14:textId="77777777" w:rsidR="00986FD6" w:rsidRDefault="00986FD6" w:rsidP="00986FD6">
      <w:pPr>
        <w:spacing w:before="100" w:beforeAutospacing="1" w:after="100" w:afterAutospacing="1"/>
        <w:rPr>
          <w:color w:val="000000"/>
        </w:rPr>
      </w:pPr>
      <w:r>
        <w:rPr>
          <w:color w:val="000000"/>
        </w:rPr>
        <w:t>Early results helped build momentum. For example, Peru’s early warning system quickly showed reduced dropouts, while the Philippines’ AI tools delivered visible, actionable outputs.</w:t>
      </w:r>
    </w:p>
    <w:p w14:paraId="6EABF4CC" w14:textId="77777777" w:rsidR="00986FD6" w:rsidRDefault="00986FD6" w:rsidP="00986FD6">
      <w:pPr>
        <w:spacing w:before="100" w:beforeAutospacing="1" w:after="100" w:afterAutospacing="1"/>
        <w:rPr>
          <w:color w:val="000000"/>
        </w:rPr>
      </w:pPr>
      <w:r>
        <w:rPr>
          <w:rStyle w:val="Strong"/>
          <w:color w:val="000000"/>
        </w:rPr>
        <w:t>Lesson for Tajikistan:</w:t>
      </w:r>
      <w:r>
        <w:rPr>
          <w:color w:val="000000"/>
        </w:rPr>
        <w:br/>
        <w:t>Build alliances with international EdTech actors and focus on improving data quality in targeted areas. Choose projects with a high likelihood of showing short-term results—such as automated exam scoring or early dropout detection—to build confidence and attract support.</w:t>
      </w:r>
    </w:p>
    <w:p w14:paraId="55DB3B42" w14:textId="77777777" w:rsidR="00986FD6" w:rsidRDefault="00986FD6" w:rsidP="00986FD6">
      <w:pPr>
        <w:spacing w:after="0"/>
      </w:pPr>
    </w:p>
    <w:p w14:paraId="567D2446" w14:textId="77777777" w:rsidR="00986FD6" w:rsidRPr="00AA2AEF" w:rsidRDefault="00986FD6" w:rsidP="00986FD6">
      <w:pPr>
        <w:pStyle w:val="Heading2"/>
      </w:pPr>
      <w:r w:rsidRPr="00AA2AEF">
        <w:rPr>
          <w:rStyle w:val="Strong"/>
          <w:rFonts w:eastAsiaTheme="majorEastAsia"/>
        </w:rPr>
        <w:t>6. Managing Challenges and Mitigating Risks</w:t>
      </w:r>
    </w:p>
    <w:p w14:paraId="19E56E58" w14:textId="77777777" w:rsidR="00986FD6" w:rsidRDefault="00986FD6" w:rsidP="00986FD6">
      <w:pPr>
        <w:spacing w:before="100" w:beforeAutospacing="1" w:after="100" w:afterAutospacing="1"/>
        <w:rPr>
          <w:color w:val="000000"/>
        </w:rPr>
      </w:pPr>
      <w:r>
        <w:rPr>
          <w:color w:val="000000"/>
        </w:rPr>
        <w:t>Common risks included data privacy concerns, algorithmic bias, resistance to change, infrastructure limitations, and sustainability issues. Mitigation strategies varied:</w:t>
      </w:r>
    </w:p>
    <w:p w14:paraId="11C6E270" w14:textId="77777777" w:rsidR="00986FD6" w:rsidRDefault="00986FD6" w:rsidP="00986FD6">
      <w:pPr>
        <w:numPr>
          <w:ilvl w:val="0"/>
          <w:numId w:val="37"/>
        </w:numPr>
        <w:spacing w:before="100" w:beforeAutospacing="1" w:after="100" w:afterAutospacing="1" w:line="240" w:lineRule="auto"/>
        <w:rPr>
          <w:color w:val="000000"/>
        </w:rPr>
      </w:pPr>
      <w:r>
        <w:rPr>
          <w:rStyle w:val="Strong"/>
          <w:color w:val="000000"/>
        </w:rPr>
        <w:lastRenderedPageBreak/>
        <w:t>Data protection</w:t>
      </w:r>
      <w:r>
        <w:rPr>
          <w:color w:val="000000"/>
        </w:rPr>
        <w:t>: Countries like China and the Philippines adhered to strict legal standards.</w:t>
      </w:r>
    </w:p>
    <w:p w14:paraId="15E9AC92" w14:textId="77777777" w:rsidR="00986FD6" w:rsidRDefault="00986FD6" w:rsidP="00986FD6">
      <w:pPr>
        <w:numPr>
          <w:ilvl w:val="0"/>
          <w:numId w:val="37"/>
        </w:numPr>
        <w:spacing w:before="100" w:beforeAutospacing="1" w:after="100" w:afterAutospacing="1" w:line="240" w:lineRule="auto"/>
        <w:rPr>
          <w:color w:val="000000"/>
        </w:rPr>
      </w:pPr>
      <w:r>
        <w:rPr>
          <w:rStyle w:val="Strong"/>
          <w:color w:val="000000"/>
        </w:rPr>
        <w:t>Bias control</w:t>
      </w:r>
      <w:r>
        <w:rPr>
          <w:color w:val="000000"/>
        </w:rPr>
        <w:t>: Ecuador and China included human oversight in algorithmic decisions.</w:t>
      </w:r>
    </w:p>
    <w:p w14:paraId="408E1443" w14:textId="77777777" w:rsidR="00986FD6" w:rsidRDefault="00986FD6" w:rsidP="00986FD6">
      <w:pPr>
        <w:numPr>
          <w:ilvl w:val="0"/>
          <w:numId w:val="37"/>
        </w:numPr>
        <w:spacing w:before="100" w:beforeAutospacing="1" w:after="100" w:afterAutospacing="1" w:line="240" w:lineRule="auto"/>
        <w:rPr>
          <w:color w:val="000000"/>
        </w:rPr>
      </w:pPr>
      <w:r>
        <w:rPr>
          <w:rStyle w:val="Strong"/>
          <w:color w:val="000000"/>
        </w:rPr>
        <w:t>Resistance</w:t>
      </w:r>
      <w:r>
        <w:rPr>
          <w:color w:val="000000"/>
        </w:rPr>
        <w:t>: Ministries involved teachers in design, communicated benefits clearly, and emphasized how AI supports—rather than replaces—them.</w:t>
      </w:r>
    </w:p>
    <w:p w14:paraId="25AC2329" w14:textId="77777777" w:rsidR="00986FD6" w:rsidRDefault="00986FD6" w:rsidP="00986FD6">
      <w:pPr>
        <w:numPr>
          <w:ilvl w:val="0"/>
          <w:numId w:val="37"/>
        </w:numPr>
        <w:spacing w:before="100" w:beforeAutospacing="1" w:after="100" w:afterAutospacing="1" w:line="240" w:lineRule="auto"/>
        <w:rPr>
          <w:color w:val="000000"/>
        </w:rPr>
      </w:pPr>
      <w:r>
        <w:rPr>
          <w:rStyle w:val="Strong"/>
          <w:color w:val="000000"/>
        </w:rPr>
        <w:t>Infrastructure</w:t>
      </w:r>
      <w:r>
        <w:rPr>
          <w:color w:val="000000"/>
        </w:rPr>
        <w:t>: Offline access (China), and low-tech channels like WhatsApp (Kenya) helped bridge gaps.</w:t>
      </w:r>
    </w:p>
    <w:p w14:paraId="57CDA70C" w14:textId="77777777" w:rsidR="00986FD6" w:rsidRDefault="00986FD6" w:rsidP="00986FD6">
      <w:pPr>
        <w:numPr>
          <w:ilvl w:val="0"/>
          <w:numId w:val="37"/>
        </w:numPr>
        <w:spacing w:before="100" w:beforeAutospacing="1" w:after="100" w:afterAutospacing="1" w:line="240" w:lineRule="auto"/>
        <w:rPr>
          <w:color w:val="000000"/>
        </w:rPr>
      </w:pPr>
      <w:r>
        <w:rPr>
          <w:rStyle w:val="Strong"/>
          <w:color w:val="000000"/>
        </w:rPr>
        <w:t>Sustainability</w:t>
      </w:r>
      <w:r>
        <w:rPr>
          <w:color w:val="000000"/>
        </w:rPr>
        <w:t xml:space="preserve">: Establishing permanent units (e.g., Plan </w:t>
      </w:r>
      <w:proofErr w:type="spellStart"/>
      <w:r>
        <w:rPr>
          <w:color w:val="000000"/>
        </w:rPr>
        <w:t>Ceibal</w:t>
      </w:r>
      <w:proofErr w:type="spellEnd"/>
      <w:r>
        <w:rPr>
          <w:color w:val="000000"/>
        </w:rPr>
        <w:t>, E-CAIR) and building local capacity helped ensure continuity beyond initial funding.</w:t>
      </w:r>
    </w:p>
    <w:p w14:paraId="078E5852" w14:textId="77777777" w:rsidR="00986FD6" w:rsidRDefault="00986FD6" w:rsidP="00986FD6">
      <w:pPr>
        <w:spacing w:before="100" w:beforeAutospacing="1" w:after="100" w:afterAutospacing="1"/>
        <w:rPr>
          <w:color w:val="000000"/>
        </w:rPr>
      </w:pPr>
      <w:r>
        <w:rPr>
          <w:rStyle w:val="Strong"/>
          <w:color w:val="000000"/>
        </w:rPr>
        <w:t>Lesson for Tajikistan:</w:t>
      </w:r>
      <w:r>
        <w:rPr>
          <w:color w:val="000000"/>
        </w:rPr>
        <w:br/>
        <w:t>Adopt a gradual, piloting approach. Develop clear data protection protocols early and invest in low-tech delivery options where necessary. Institutionalize governance and ensure that knowledge is retained internally.</w:t>
      </w:r>
    </w:p>
    <w:p w14:paraId="7ADEF6E9" w14:textId="77777777" w:rsidR="00986FD6" w:rsidRDefault="00986FD6" w:rsidP="00986FD6">
      <w:pPr>
        <w:spacing w:after="0"/>
      </w:pPr>
    </w:p>
    <w:p w14:paraId="56B34087" w14:textId="77777777" w:rsidR="00986FD6" w:rsidRPr="00AA2AEF" w:rsidRDefault="00986FD6" w:rsidP="00986FD6">
      <w:pPr>
        <w:pStyle w:val="Heading2"/>
      </w:pPr>
      <w:r w:rsidRPr="00AA2AEF">
        <w:rPr>
          <w:rStyle w:val="Strong"/>
          <w:rFonts w:eastAsiaTheme="majorEastAsia"/>
        </w:rPr>
        <w:t>Conclusion: A Roadmap for Tajikistan</w:t>
      </w:r>
    </w:p>
    <w:p w14:paraId="35BF6CDC" w14:textId="77777777" w:rsidR="00986FD6" w:rsidRDefault="00986FD6" w:rsidP="00986FD6">
      <w:pPr>
        <w:spacing w:before="100" w:beforeAutospacing="1" w:after="100" w:afterAutospacing="1"/>
        <w:rPr>
          <w:color w:val="000000"/>
        </w:rPr>
      </w:pPr>
      <w:r>
        <w:rPr>
          <w:color w:val="000000"/>
        </w:rPr>
        <w:t>The international experiences demonstrate that, when thoughtfully implemented, AI can significantly enhance a ministry’s ability to plan, decide, and deliver. While context varies, the principles of success—leadership, capacity-building, stakeholder engagement, and strategic focus—are universal.</w:t>
      </w:r>
    </w:p>
    <w:p w14:paraId="0BC00A65" w14:textId="77777777" w:rsidR="00986FD6" w:rsidRDefault="00986FD6" w:rsidP="00986FD6">
      <w:pPr>
        <w:spacing w:before="100" w:beforeAutospacing="1" w:after="100" w:afterAutospacing="1"/>
        <w:rPr>
          <w:color w:val="000000"/>
        </w:rPr>
      </w:pPr>
      <w:r>
        <w:rPr>
          <w:color w:val="000000"/>
        </w:rPr>
        <w:t>For Tajikistan, the path forward is incremental but promising. Starting with a clearly defined problem, investing in people and data, and piloting carefully chosen solutions can lay a solid foundation. Over time, AI can serve as a powerful enabler of more equitable, efficient, and data-driven education reform.</w:t>
      </w:r>
    </w:p>
    <w:p w14:paraId="615B6954" w14:textId="77777777" w:rsidR="00986FD6" w:rsidRDefault="00986FD6" w:rsidP="00986FD6">
      <w:pPr>
        <w:spacing w:before="100" w:beforeAutospacing="1" w:after="100" w:afterAutospacing="1"/>
        <w:rPr>
          <w:color w:val="000000"/>
        </w:rPr>
      </w:pPr>
      <w:r>
        <w:rPr>
          <w:color w:val="000000"/>
        </w:rPr>
        <w:t>With strategic planning and cross-sector collaboration, Tajikistan can begin to harness AI not just as a tool, but as a catalyst for meaningful transformation in its education sector.</w:t>
      </w:r>
    </w:p>
    <w:p w14:paraId="1C027464" w14:textId="0AE4B4E7" w:rsidR="009E36AB" w:rsidRPr="00986FD6" w:rsidRDefault="009E36AB"/>
    <w:sectPr w:rsidR="009E36AB" w:rsidRPr="00986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674"/>
    <w:multiLevelType w:val="multilevel"/>
    <w:tmpl w:val="64A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260716AE"/>
    <w:multiLevelType w:val="multilevel"/>
    <w:tmpl w:val="824E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F12C3D"/>
    <w:multiLevelType w:val="multilevel"/>
    <w:tmpl w:val="ADE2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300DA"/>
    <w:multiLevelType w:val="multilevel"/>
    <w:tmpl w:val="56428FD0"/>
    <w:lvl w:ilvl="0">
      <w:numFmt w:val="decimal"/>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10"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5"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6"/>
  </w:num>
  <w:num w:numId="2" w16cid:durableId="721097167">
    <w:abstractNumId w:val="17"/>
  </w:num>
  <w:num w:numId="3" w16cid:durableId="1471165884">
    <w:abstractNumId w:val="2"/>
  </w:num>
  <w:num w:numId="4" w16cid:durableId="1915431797">
    <w:abstractNumId w:val="6"/>
  </w:num>
  <w:num w:numId="5" w16cid:durableId="1342128616">
    <w:abstractNumId w:val="4"/>
  </w:num>
  <w:num w:numId="6" w16cid:durableId="712387219">
    <w:abstractNumId w:val="13"/>
  </w:num>
  <w:num w:numId="7" w16cid:durableId="19683939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3"/>
  </w:num>
  <w:num w:numId="10" w16cid:durableId="414980495">
    <w:abstractNumId w:val="3"/>
  </w:num>
  <w:num w:numId="11" w16cid:durableId="1672416664">
    <w:abstractNumId w:val="18"/>
  </w:num>
  <w:num w:numId="12" w16cid:durableId="1789278823">
    <w:abstractNumId w:val="18"/>
  </w:num>
  <w:num w:numId="13" w16cid:durableId="462501198">
    <w:abstractNumId w:val="12"/>
  </w:num>
  <w:num w:numId="14" w16cid:durableId="1194925788">
    <w:abstractNumId w:val="12"/>
  </w:num>
  <w:num w:numId="15" w16cid:durableId="1208688905">
    <w:abstractNumId w:val="5"/>
  </w:num>
  <w:num w:numId="16" w16cid:durableId="1847475997">
    <w:abstractNumId w:val="5"/>
  </w:num>
  <w:num w:numId="17" w16cid:durableId="766458707">
    <w:abstractNumId w:val="5"/>
  </w:num>
  <w:num w:numId="18" w16cid:durableId="803276861">
    <w:abstractNumId w:val="5"/>
  </w:num>
  <w:num w:numId="19" w16cid:durableId="871190740">
    <w:abstractNumId w:val="5"/>
  </w:num>
  <w:num w:numId="20" w16cid:durableId="87818916">
    <w:abstractNumId w:val="3"/>
  </w:num>
  <w:num w:numId="21" w16cid:durableId="465589493">
    <w:abstractNumId w:val="16"/>
  </w:num>
  <w:num w:numId="22" w16cid:durableId="1682466668">
    <w:abstractNumId w:val="18"/>
  </w:num>
  <w:num w:numId="23" w16cid:durableId="355544191">
    <w:abstractNumId w:val="11"/>
  </w:num>
  <w:num w:numId="24" w16cid:durableId="852262562">
    <w:abstractNumId w:val="1"/>
  </w:num>
  <w:num w:numId="25" w16cid:durableId="1390304214">
    <w:abstractNumId w:val="1"/>
  </w:num>
  <w:num w:numId="26" w16cid:durableId="2103909535">
    <w:abstractNumId w:val="10"/>
  </w:num>
  <w:num w:numId="27" w16cid:durableId="856624584">
    <w:abstractNumId w:val="15"/>
  </w:num>
  <w:num w:numId="28" w16cid:durableId="1984776058">
    <w:abstractNumId w:val="14"/>
  </w:num>
  <w:num w:numId="29" w16cid:durableId="804591106">
    <w:abstractNumId w:val="14"/>
  </w:num>
  <w:num w:numId="30" w16cid:durableId="1623264122">
    <w:abstractNumId w:val="14"/>
  </w:num>
  <w:num w:numId="31" w16cid:durableId="851336568">
    <w:abstractNumId w:val="9"/>
  </w:num>
  <w:num w:numId="32" w16cid:durableId="1855143132">
    <w:abstractNumId w:val="9"/>
  </w:num>
  <w:num w:numId="33" w16cid:durableId="1904607951">
    <w:abstractNumId w:val="9"/>
  </w:num>
  <w:num w:numId="34" w16cid:durableId="230966851">
    <w:abstractNumId w:val="9"/>
  </w:num>
  <w:num w:numId="35" w16cid:durableId="928928654">
    <w:abstractNumId w:val="7"/>
  </w:num>
  <w:num w:numId="36" w16cid:durableId="1493256116">
    <w:abstractNumId w:val="8"/>
  </w:num>
  <w:num w:numId="37" w16cid:durableId="1040518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D6"/>
    <w:rsid w:val="001835A5"/>
    <w:rsid w:val="00200387"/>
    <w:rsid w:val="00247344"/>
    <w:rsid w:val="0029794F"/>
    <w:rsid w:val="002D5781"/>
    <w:rsid w:val="004B0688"/>
    <w:rsid w:val="005336DB"/>
    <w:rsid w:val="005E22E7"/>
    <w:rsid w:val="005E2881"/>
    <w:rsid w:val="005E29D3"/>
    <w:rsid w:val="005F01EB"/>
    <w:rsid w:val="0066305E"/>
    <w:rsid w:val="00665389"/>
    <w:rsid w:val="006B233C"/>
    <w:rsid w:val="006C1619"/>
    <w:rsid w:val="006D2860"/>
    <w:rsid w:val="00714FF9"/>
    <w:rsid w:val="007C562F"/>
    <w:rsid w:val="00812D4F"/>
    <w:rsid w:val="008507D7"/>
    <w:rsid w:val="008C3306"/>
    <w:rsid w:val="009318D0"/>
    <w:rsid w:val="00986FD6"/>
    <w:rsid w:val="009D1564"/>
    <w:rsid w:val="009E36AB"/>
    <w:rsid w:val="009F753E"/>
    <w:rsid w:val="00AA7ADA"/>
    <w:rsid w:val="00AC2E20"/>
    <w:rsid w:val="00C04AD0"/>
    <w:rsid w:val="00C162E3"/>
    <w:rsid w:val="00C60F95"/>
    <w:rsid w:val="00C618C4"/>
    <w:rsid w:val="00C940B2"/>
    <w:rsid w:val="00CD338A"/>
    <w:rsid w:val="00CF5FCE"/>
    <w:rsid w:val="00D547AF"/>
    <w:rsid w:val="00D80D3A"/>
    <w:rsid w:val="00D9200B"/>
    <w:rsid w:val="00D95656"/>
    <w:rsid w:val="00E8028B"/>
    <w:rsid w:val="00E8041F"/>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6F88"/>
  <w15:chartTrackingRefBased/>
  <w15:docId w15:val="{BEF939EB-5F4C-D84A-9169-2B5DCF656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FD6"/>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D9200B"/>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D9200B"/>
    <w:pPr>
      <w:keepNext/>
      <w:keepLines/>
      <w:numPr>
        <w:ilvl w:val="2"/>
        <w:numId w:val="34"/>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986F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6F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6F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6F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D9200B"/>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D9200B"/>
    <w:pPr>
      <w:spacing w:before="12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D9200B"/>
    <w:pPr>
      <w:spacing w:before="12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986FD6"/>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986FD6"/>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986FD6"/>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986FD6"/>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986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FD6"/>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986F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FD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86F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6FD6"/>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986FD6"/>
    <w:pPr>
      <w:ind w:left="720"/>
      <w:contextualSpacing/>
    </w:pPr>
  </w:style>
  <w:style w:type="character" w:styleId="IntenseEmphasis">
    <w:name w:val="Intense Emphasis"/>
    <w:basedOn w:val="DefaultParagraphFont"/>
    <w:uiPriority w:val="21"/>
    <w:qFormat/>
    <w:rsid w:val="00986FD6"/>
    <w:rPr>
      <w:i/>
      <w:iCs/>
      <w:color w:val="0F4761" w:themeColor="accent1" w:themeShade="BF"/>
    </w:rPr>
  </w:style>
  <w:style w:type="paragraph" w:styleId="IntenseQuote">
    <w:name w:val="Intense Quote"/>
    <w:basedOn w:val="Normal"/>
    <w:next w:val="Normal"/>
    <w:link w:val="IntenseQuoteChar"/>
    <w:uiPriority w:val="30"/>
    <w:qFormat/>
    <w:rsid w:val="00986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FD6"/>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986FD6"/>
    <w:rPr>
      <w:b/>
      <w:bCs/>
      <w:smallCaps/>
      <w:color w:val="0F4761" w:themeColor="accent1" w:themeShade="BF"/>
      <w:spacing w:val="5"/>
    </w:rPr>
  </w:style>
  <w:style w:type="character" w:styleId="Strong">
    <w:name w:val="Strong"/>
    <w:basedOn w:val="DefaultParagraphFont"/>
    <w:uiPriority w:val="22"/>
    <w:qFormat/>
    <w:rsid w:val="00986FD6"/>
    <w:rPr>
      <w:b/>
      <w:bCs/>
    </w:rPr>
  </w:style>
  <w:style w:type="character" w:customStyle="1" w:styleId="apple-converted-space">
    <w:name w:val="apple-converted-space"/>
    <w:basedOn w:val="DefaultParagraphFont"/>
    <w:rsid w:val="00986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875</Words>
  <Characters>5804</Characters>
  <Application>Microsoft Office Word</Application>
  <DocSecurity>0</DocSecurity>
  <Lines>128</Lines>
  <Paragraphs>38</Paragraphs>
  <ScaleCrop>false</ScaleCrop>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1</cp:revision>
  <dcterms:created xsi:type="dcterms:W3CDTF">2025-05-11T09:50:00Z</dcterms:created>
  <dcterms:modified xsi:type="dcterms:W3CDTF">2025-05-11T09:51:00Z</dcterms:modified>
</cp:coreProperties>
</file>