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DCC2B" w14:textId="77777777" w:rsidR="00B75034" w:rsidRDefault="00847C30" w:rsidP="00847C30">
      <w:pPr>
        <w:spacing w:before="100" w:beforeAutospacing="1" w:after="100" w:afterAutospacing="1" w:line="240" w:lineRule="auto"/>
        <w:rPr>
          <w:rStyle w:val="Heading1Char"/>
        </w:rPr>
      </w:pPr>
      <w:proofErr w:type="spellStart"/>
      <w:r w:rsidRPr="00B75034">
        <w:rPr>
          <w:rStyle w:val="Heading1Char"/>
        </w:rPr>
        <w:t>Чтобы</w:t>
      </w:r>
      <w:proofErr w:type="spellEnd"/>
      <w:r w:rsidRPr="00B75034">
        <w:rPr>
          <w:rStyle w:val="Heading1Char"/>
        </w:rPr>
        <w:t xml:space="preserve"> </w:t>
      </w:r>
      <w:proofErr w:type="spellStart"/>
      <w:r w:rsidRPr="00B75034">
        <w:rPr>
          <w:rStyle w:val="Heading1Char"/>
        </w:rPr>
        <w:t>не</w:t>
      </w:r>
      <w:proofErr w:type="spellEnd"/>
      <w:r w:rsidRPr="00B75034">
        <w:rPr>
          <w:rStyle w:val="Heading1Char"/>
        </w:rPr>
        <w:t xml:space="preserve"> </w:t>
      </w:r>
      <w:proofErr w:type="spellStart"/>
      <w:r w:rsidRPr="00B75034">
        <w:rPr>
          <w:rStyle w:val="Heading1Char"/>
        </w:rPr>
        <w:t>отстать</w:t>
      </w:r>
      <w:proofErr w:type="spellEnd"/>
      <w:r w:rsidRPr="00B75034">
        <w:rPr>
          <w:rStyle w:val="Heading1Char"/>
        </w:rPr>
        <w:t xml:space="preserve"> </w:t>
      </w:r>
      <w:proofErr w:type="spellStart"/>
      <w:r w:rsidRPr="00B75034">
        <w:rPr>
          <w:rStyle w:val="Heading1Char"/>
        </w:rPr>
        <w:t>от</w:t>
      </w:r>
      <w:proofErr w:type="spellEnd"/>
      <w:r w:rsidRPr="00B75034">
        <w:rPr>
          <w:rStyle w:val="Heading1Char"/>
        </w:rPr>
        <w:t xml:space="preserve"> ИИ, </w:t>
      </w:r>
      <w:proofErr w:type="spellStart"/>
      <w:r w:rsidRPr="00B75034">
        <w:rPr>
          <w:rStyle w:val="Heading1Char"/>
        </w:rPr>
        <w:t>сосредоточьтесь</w:t>
      </w:r>
      <w:proofErr w:type="spellEnd"/>
      <w:r w:rsidRPr="00B75034">
        <w:rPr>
          <w:rStyle w:val="Heading1Char"/>
        </w:rPr>
        <w:t xml:space="preserve"> </w:t>
      </w:r>
      <w:proofErr w:type="spellStart"/>
      <w:r w:rsidRPr="00B75034">
        <w:rPr>
          <w:rStyle w:val="Heading1Char"/>
        </w:rPr>
        <w:t>на</w:t>
      </w:r>
      <w:proofErr w:type="spellEnd"/>
      <w:r w:rsidRPr="00B75034">
        <w:rPr>
          <w:rStyle w:val="Heading1Char"/>
        </w:rPr>
        <w:t xml:space="preserve"> </w:t>
      </w:r>
      <w:proofErr w:type="spellStart"/>
      <w:r w:rsidRPr="00B75034">
        <w:rPr>
          <w:rStyle w:val="Heading1Char"/>
        </w:rPr>
        <w:t>тех</w:t>
      </w:r>
      <w:proofErr w:type="spellEnd"/>
      <w:r w:rsidRPr="00B75034">
        <w:rPr>
          <w:rStyle w:val="Heading1Char"/>
        </w:rPr>
        <w:t xml:space="preserve"> </w:t>
      </w:r>
      <w:proofErr w:type="spellStart"/>
      <w:r w:rsidRPr="00B75034">
        <w:rPr>
          <w:rStyle w:val="Heading1Char"/>
        </w:rPr>
        <w:t>точках</w:t>
      </w:r>
      <w:proofErr w:type="spellEnd"/>
      <w:r w:rsidRPr="00B75034">
        <w:rPr>
          <w:rStyle w:val="Heading1Char"/>
        </w:rPr>
        <w:t xml:space="preserve">, </w:t>
      </w:r>
      <w:proofErr w:type="spellStart"/>
      <w:r w:rsidRPr="00B75034">
        <w:rPr>
          <w:rStyle w:val="Heading1Char"/>
        </w:rPr>
        <w:t>где</w:t>
      </w:r>
      <w:proofErr w:type="spellEnd"/>
      <w:r w:rsidRPr="00B75034">
        <w:rPr>
          <w:rStyle w:val="Heading1Char"/>
        </w:rPr>
        <w:t xml:space="preserve"> </w:t>
      </w:r>
      <w:proofErr w:type="spellStart"/>
      <w:r w:rsidRPr="00B75034">
        <w:rPr>
          <w:rStyle w:val="Heading1Char"/>
        </w:rPr>
        <w:t>он</w:t>
      </w:r>
      <w:proofErr w:type="spellEnd"/>
      <w:r w:rsidRPr="00B75034">
        <w:rPr>
          <w:rStyle w:val="Heading1Char"/>
        </w:rPr>
        <w:t xml:space="preserve"> </w:t>
      </w:r>
      <w:proofErr w:type="spellStart"/>
      <w:r w:rsidRPr="00B75034">
        <w:rPr>
          <w:rStyle w:val="Heading1Char"/>
        </w:rPr>
        <w:t>соприкасается</w:t>
      </w:r>
      <w:proofErr w:type="spellEnd"/>
      <w:r w:rsidRPr="00B75034">
        <w:rPr>
          <w:rStyle w:val="Heading1Char"/>
        </w:rPr>
        <w:t xml:space="preserve"> с </w:t>
      </w:r>
      <w:proofErr w:type="spellStart"/>
      <w:r w:rsidRPr="00B75034">
        <w:rPr>
          <w:rStyle w:val="Heading1Char"/>
        </w:rPr>
        <w:t>внешним</w:t>
      </w:r>
      <w:proofErr w:type="spellEnd"/>
      <w:r w:rsidRPr="00B75034">
        <w:rPr>
          <w:rStyle w:val="Heading1Char"/>
        </w:rPr>
        <w:t xml:space="preserve"> </w:t>
      </w:r>
      <w:proofErr w:type="spellStart"/>
      <w:r w:rsidRPr="00B75034">
        <w:rPr>
          <w:rStyle w:val="Heading1Char"/>
        </w:rPr>
        <w:t>миром</w:t>
      </w:r>
      <w:proofErr w:type="spellEnd"/>
    </w:p>
    <w:p w14:paraId="4BC311A5" w14:textId="0F8C3F06" w:rsidR="00B75034" w:rsidRDefault="00B75034" w:rsidP="00847C30">
      <w:pPr>
        <w:spacing w:before="100" w:beforeAutospacing="1" w:after="100" w:afterAutospacing="1" w:line="240" w:lineRule="auto"/>
        <w:rPr>
          <w:rFonts w:ascii="Times New Roman" w:eastAsia="Times New Roman" w:hAnsi="Times New Roman"/>
          <w:b/>
          <w:bCs/>
          <w:color w:val="000000"/>
          <w:sz w:val="24"/>
          <w:szCs w:val="24"/>
          <w:lang w:val="en-DE" w:eastAsia="en-GB"/>
        </w:rPr>
      </w:pPr>
      <w:r w:rsidRPr="00B75034">
        <w:rPr>
          <w:rStyle w:val="Heading1Char"/>
          <w:color w:val="0B769F" w:themeColor="accent4" w:themeShade="BF"/>
        </w:rPr>
        <w:t>The Economist, Apr 10 2025</w:t>
      </w:r>
      <w:r w:rsidR="00847C30" w:rsidRPr="00B75034">
        <w:rPr>
          <w:rFonts w:ascii="Times New Roman" w:eastAsia="Times New Roman" w:hAnsi="Times New Roman"/>
          <w:color w:val="0B769F" w:themeColor="accent4" w:themeShade="BF"/>
          <w:sz w:val="24"/>
          <w:szCs w:val="24"/>
          <w:lang w:val="en-DE" w:eastAsia="en-GB"/>
        </w:rPr>
        <w:br/>
      </w:r>
      <w:r w:rsidR="00847C30" w:rsidRPr="00847C30">
        <w:rPr>
          <w:rFonts w:ascii="Times New Roman" w:eastAsia="Times New Roman" w:hAnsi="Times New Roman"/>
          <w:color w:val="000000"/>
          <w:sz w:val="24"/>
          <w:szCs w:val="24"/>
          <w:lang w:val="en-DE" w:eastAsia="en-GB"/>
        </w:rPr>
        <w:br/>
      </w:r>
      <w:hyperlink r:id="rId5" w:history="1">
        <w:r w:rsidRPr="00FB1457">
          <w:rPr>
            <w:rStyle w:val="Hyperlink"/>
            <w:rFonts w:ascii="Times New Roman" w:eastAsia="Times New Roman" w:hAnsi="Times New Roman"/>
            <w:b/>
            <w:bCs/>
            <w:sz w:val="24"/>
            <w:szCs w:val="24"/>
            <w:lang w:val="en-DE" w:eastAsia="en-GB"/>
          </w:rPr>
          <w:t>https://www.economist.com/by-invitation/2025/04/10/to-keep-on-t</w:t>
        </w:r>
        <w:r w:rsidRPr="00FB1457">
          <w:rPr>
            <w:rStyle w:val="Hyperlink"/>
            <w:rFonts w:ascii="Times New Roman" w:eastAsia="Times New Roman" w:hAnsi="Times New Roman"/>
            <w:b/>
            <w:bCs/>
            <w:sz w:val="24"/>
            <w:szCs w:val="24"/>
            <w:lang w:val="en-DE" w:eastAsia="en-GB"/>
          </w:rPr>
          <w:t>o</w:t>
        </w:r>
        <w:r w:rsidRPr="00FB1457">
          <w:rPr>
            <w:rStyle w:val="Hyperlink"/>
            <w:rFonts w:ascii="Times New Roman" w:eastAsia="Times New Roman" w:hAnsi="Times New Roman"/>
            <w:b/>
            <w:bCs/>
            <w:sz w:val="24"/>
            <w:szCs w:val="24"/>
            <w:lang w:val="en-DE" w:eastAsia="en-GB"/>
          </w:rPr>
          <w:t>p-of-ai-focus-on-the-points-where-it-touches-the-outside-world-writes-martin-chavez</w:t>
        </w:r>
      </w:hyperlink>
    </w:p>
    <w:p w14:paraId="33816C12" w14:textId="08F22005" w:rsidR="00847C30" w:rsidRPr="00847C30" w:rsidRDefault="00847C30" w:rsidP="00847C30">
      <w:pPr>
        <w:spacing w:before="100" w:beforeAutospacing="1" w:after="100" w:afterAutospacing="1" w:line="240" w:lineRule="auto"/>
        <w:rPr>
          <w:rFonts w:ascii="Times New Roman" w:eastAsia="Times New Roman" w:hAnsi="Times New Roman"/>
          <w:color w:val="000000"/>
          <w:sz w:val="24"/>
          <w:szCs w:val="24"/>
          <w:lang w:val="en-DE" w:eastAsia="en-GB"/>
        </w:rPr>
      </w:pPr>
      <w:r w:rsidRPr="00847C30">
        <w:rPr>
          <w:rFonts w:ascii="Times New Roman" w:eastAsia="Times New Roman" w:hAnsi="Times New Roman"/>
          <w:color w:val="000000"/>
          <w:sz w:val="24"/>
          <w:szCs w:val="24"/>
          <w:lang w:val="en-DE" w:eastAsia="en-GB"/>
        </w:rPr>
        <w:br/>
      </w:r>
      <w:r w:rsidRPr="00847C30">
        <w:rPr>
          <w:rFonts w:ascii="Times New Roman" w:eastAsia="Times New Roman" w:hAnsi="Times New Roman"/>
          <w:b/>
          <w:bCs/>
          <w:color w:val="000000"/>
          <w:sz w:val="24"/>
          <w:szCs w:val="24"/>
          <w:lang w:val="en-DE" w:eastAsia="en-GB"/>
        </w:rPr>
        <w:t>Директор Alphabet предлагает черпать вдохновение в том, как контролируются финансовые рынки и железные дороги.</w:t>
      </w:r>
      <w:r w:rsidRPr="00847C30">
        <w:rPr>
          <w:rFonts w:ascii="Times New Roman" w:eastAsia="Times New Roman" w:hAnsi="Times New Roman"/>
          <w:color w:val="000000"/>
          <w:sz w:val="24"/>
          <w:szCs w:val="24"/>
          <w:lang w:val="en-DE" w:eastAsia="en-GB"/>
        </w:rPr>
        <w:br/>
      </w:r>
      <w:r w:rsidRPr="00847C30">
        <w:rPr>
          <w:rFonts w:ascii="Times New Roman" w:eastAsia="Times New Roman" w:hAnsi="Times New Roman"/>
          <w:color w:val="000000"/>
          <w:sz w:val="24"/>
          <w:szCs w:val="24"/>
          <w:lang w:val="en-DE" w:eastAsia="en-GB"/>
        </w:rPr>
        <w:br/>
        <w:t>Искусственный интеллект неустанно развивается, представляя собой как огромный потенциал, так и серьезные риски. Как поощрять инновации в области искусственного интеллекта и при этом эффективно управлять этими рисками?</w:t>
      </w:r>
      <w:r w:rsidRPr="00847C30">
        <w:rPr>
          <w:rFonts w:ascii="Times New Roman" w:eastAsia="Times New Roman" w:hAnsi="Times New Roman"/>
          <w:color w:val="000000"/>
          <w:sz w:val="24"/>
          <w:szCs w:val="24"/>
          <w:lang w:val="en-DE" w:eastAsia="en-GB"/>
        </w:rPr>
        <w:br/>
        <w:t>Современные представления о том, как регулировать искусственный интеллект, в основном сводятся к регулированию самих моделей. Например, законопроект Калифорнии о безопасности ай, на который сейчас наложено вето, предусматривал ответственность разработчиков за неправильное использование системы и требовал наличия «выключателя». Разработка безопасных, этичных и эффективных ай-систем неизбежно требует стандартов и тестирования. Как и в случае с любым другим инструментом, нам нужны рекомендации по определению того, что считается приемлемым.</w:t>
      </w:r>
      <w:r w:rsidRPr="00847C30">
        <w:rPr>
          <w:rFonts w:ascii="Times New Roman" w:eastAsia="Times New Roman" w:hAnsi="Times New Roman"/>
          <w:color w:val="000000"/>
          <w:sz w:val="24"/>
          <w:szCs w:val="24"/>
          <w:lang w:val="en-DE" w:eastAsia="en-GB"/>
        </w:rPr>
        <w:br/>
        <w:t>Но, как математически доказал Алан Тьюринг почти столетие назад, ни один подход не гарантирует корректность любой достаточно сложной программы. Более того, появление китайской программы DeepSeek говорит о том, что мир подошел к переломному моменту, когда модели с открытым исходным кодом распространяются вне всякого управления.</w:t>
      </w:r>
      <w:r w:rsidRPr="00847C30">
        <w:rPr>
          <w:rFonts w:ascii="Times New Roman" w:eastAsia="Times New Roman" w:hAnsi="Times New Roman"/>
          <w:color w:val="000000"/>
          <w:sz w:val="24"/>
          <w:szCs w:val="24"/>
          <w:lang w:val="en-DE" w:eastAsia="en-GB"/>
        </w:rPr>
        <w:br/>
        <w:t>Управление должно начинаться с практического подхода, направленного на устранение узлов, где эти модели взаимодействуют с внешним миром и влияют на него.</w:t>
      </w:r>
      <w:r w:rsidRPr="00847C30">
        <w:rPr>
          <w:rFonts w:ascii="Times New Roman" w:eastAsia="Times New Roman" w:hAnsi="Times New Roman"/>
          <w:color w:val="000000"/>
          <w:sz w:val="24"/>
          <w:szCs w:val="24"/>
          <w:lang w:val="en-DE" w:eastAsia="en-GB"/>
        </w:rPr>
        <w:br/>
        <w:t>История преподносит свои уроки. Рассмотрим железнодорожный бум XIX века. Общество добилось безопасности не за счет регулирования каждого поезда, а за счет управления узлами путей, где чаще всего происходили аварии. </w:t>
      </w:r>
      <w:r w:rsidRPr="00847C30">
        <w:rPr>
          <w:rFonts w:ascii="Times New Roman" w:eastAsia="Times New Roman" w:hAnsi="Times New Roman"/>
          <w:color w:val="000000"/>
          <w:sz w:val="24"/>
          <w:szCs w:val="24"/>
          <w:lang w:val="en-DE" w:eastAsia="en-GB"/>
        </w:rPr>
        <w:br/>
        <w:t>Финансовые рынки переняли этот подход совсем недавно. Правило доступа к рынку Комиссии по ценным бумагам и биржам не ограничивает внутреннюю работу трейдеров. Вместо этого регуляторы делают акцент на точках контакта с рынком, предписывая проверять достаточность капитала перед тем, как алгоритмы введут каждый ордер на фондовый рынок. Аналогичным образом Федеральная резервная система не занимается микроконтролем банков. Напротив, она требует от них моделировать денежные потоки, отчет о прибылях и убытках и баланс на девять кварталов вперед, демонстрируя достаточность капитала для кредитования и проведения операций на рынке при крайне неблагоприятных сценариях по выбору регулятора. В каждом случае управление точками взаимодействия оказалось более эффективным, чем попытки контролировать внутреннюю сложность каждой системы.</w:t>
      </w:r>
      <w:r w:rsidRPr="00847C30">
        <w:rPr>
          <w:rFonts w:ascii="Times New Roman" w:eastAsia="Times New Roman" w:hAnsi="Times New Roman"/>
          <w:color w:val="000000"/>
          <w:sz w:val="24"/>
          <w:szCs w:val="24"/>
          <w:lang w:val="en-DE" w:eastAsia="en-GB"/>
        </w:rPr>
        <w:br/>
        <w:t xml:space="preserve">Примените ту же логику к ай. Политики и регуляторы должны переключить свое внимание на интерфейсы, через которые системы и агенты ai соединяются с критической инфраструктурой, финансовыми рынками, здравоохранением и другими важными областями. Они должны разработать и установить четкие, поддающиеся </w:t>
      </w:r>
      <w:r w:rsidRPr="00847C30">
        <w:rPr>
          <w:rFonts w:ascii="Times New Roman" w:eastAsia="Times New Roman" w:hAnsi="Times New Roman"/>
          <w:color w:val="000000"/>
          <w:sz w:val="24"/>
          <w:szCs w:val="24"/>
          <w:lang w:val="en-DE" w:eastAsia="en-GB"/>
        </w:rPr>
        <w:lastRenderedPageBreak/>
        <w:t>проверке стандарты взаимодействия ай-систем с реальным миром, включая стресс-тесты, аудиторские следы, аттестацию и сертификацию. Мы хотим, чтобы регулирование было как можно меньше, и не меньше.</w:t>
      </w:r>
      <w:r w:rsidRPr="00847C30">
        <w:rPr>
          <w:rFonts w:ascii="Times New Roman" w:eastAsia="Times New Roman" w:hAnsi="Times New Roman"/>
          <w:color w:val="000000"/>
          <w:sz w:val="24"/>
          <w:szCs w:val="24"/>
          <w:lang w:val="en-DE" w:eastAsia="en-GB"/>
        </w:rPr>
        <w:br/>
        <w:t>Конечно, при таком большом количестве потенциальных применений ни один подход не справится со всеми рисками. Например, чатбот может манипулировать людьми, а ай-система - создать новое биооружие. Управление на уровне системных интерфейсов само по себе не может справиться с такими рисками. Мы также должны повышать устойчивость с помощью моделирования и сценарного планирования, подобно стресс-тестам для контроля банков.</w:t>
      </w:r>
      <w:r w:rsidRPr="00847C30">
        <w:rPr>
          <w:rFonts w:ascii="Times New Roman" w:eastAsia="Times New Roman" w:hAnsi="Times New Roman"/>
          <w:color w:val="000000"/>
          <w:sz w:val="24"/>
          <w:szCs w:val="24"/>
          <w:lang w:val="en-DE" w:eastAsia="en-GB"/>
        </w:rPr>
        <w:br/>
        <w:t>Стандарты должны быть непрерывными, чтобы соответствовать сложности и риску систем Ai. Вместо того чтобы устанавливать правила с произвольными порогами, необходимо динамически изменять эти пороги, чтобы отразить вероятность и серьезность негативных взаимодействий с внешним миром.</w:t>
      </w:r>
      <w:r w:rsidRPr="00847C30">
        <w:rPr>
          <w:rFonts w:ascii="Times New Roman" w:eastAsia="Times New Roman" w:hAnsi="Times New Roman"/>
          <w:color w:val="000000"/>
          <w:sz w:val="24"/>
          <w:szCs w:val="24"/>
          <w:lang w:val="en-DE" w:eastAsia="en-GB"/>
        </w:rPr>
        <w:br/>
        <w:t>Чтобы по-настоящему использовать возможности ai, управление должно также согласовывать корпоративные стимулы с общественной безопасностью. Совместное управление и открытая коммуникация могут укрепить доверие и проложить путь, способствующий безопасности и инновациям, используя штрафы, наказания и другие механизмы, чтобы побудить разработчиков уделять приоритетное внимание безопасности.</w:t>
      </w:r>
      <w:r w:rsidRPr="00847C30">
        <w:rPr>
          <w:rFonts w:ascii="Times New Roman" w:eastAsia="Times New Roman" w:hAnsi="Times New Roman"/>
          <w:color w:val="000000"/>
          <w:sz w:val="24"/>
          <w:szCs w:val="24"/>
          <w:lang w:val="en-DE" w:eastAsia="en-GB"/>
        </w:rPr>
        <w:br/>
        <w:t>Закон Европейского союза об искусственном интеллекте предлагает некоторые идеи для стандартов на уровне интерфейса, внедряя управление на основе уровня риска. Однако этот закон оставляет важные вопросы без ответа и в то же время перегибает палку. В то время как системы с высоким уровнем риска подвергаются прямому запрету или строгим обязательствам, системы с низким уровнем риска - как правило, предназначенные для личного использования - остаются минимально регулируемыми, несмотря на их вполне реальное влияние. </w:t>
      </w:r>
      <w:r w:rsidRPr="00847C30">
        <w:rPr>
          <w:rFonts w:ascii="Times New Roman" w:eastAsia="Times New Roman" w:hAnsi="Times New Roman"/>
          <w:color w:val="000000"/>
          <w:sz w:val="24"/>
          <w:szCs w:val="24"/>
          <w:lang w:val="en-DE" w:eastAsia="en-GB"/>
        </w:rPr>
        <w:br/>
        <w:t>В условиях, когда спрос на ай-инструменты превышает предложение, у Америки есть возможность стать лидером в создании глобальных ай-стандартов, которые гарантируют безопасность, не подавляя инновации. Но для того, чтобы оставаться конкурентоспособной, она должна действовать быстро и решительно.</w:t>
      </w:r>
      <w:r w:rsidRPr="00847C30">
        <w:rPr>
          <w:rFonts w:ascii="Times New Roman" w:eastAsia="Times New Roman" w:hAnsi="Times New Roman"/>
          <w:color w:val="000000"/>
          <w:sz w:val="24"/>
          <w:szCs w:val="24"/>
          <w:lang w:val="en-DE" w:eastAsia="en-GB"/>
        </w:rPr>
        <w:br/>
        <w:t>Принятие стандартов на уровне системных интерфейсов - это важный первый шаг. Чрезмерное регулирование остается серьезной проблемой, но непоследовательный подход, который Америка применяла до сих пор, только мешает разработчикам и пользователям, замедляя создание несовместимых правил в разных штатах. Однако при четком, последовательном и всеобъемлющем управлении Америка может ускорить внутренние инновации и стать мировым центром для ай.</w:t>
      </w:r>
      <w:r w:rsidRPr="00847C30">
        <w:rPr>
          <w:rFonts w:ascii="Times New Roman" w:eastAsia="Times New Roman" w:hAnsi="Times New Roman"/>
          <w:color w:val="000000"/>
          <w:sz w:val="24"/>
          <w:szCs w:val="24"/>
          <w:lang w:val="en-DE" w:eastAsia="en-GB"/>
        </w:rPr>
        <w:br/>
        <w:t>Для создания гибкой, дальновидной и устойчивой системы потребуется государственно-частное партнерство. Такое партнерство может разработать стандарты системных интерфейсов для ай-систем и гарантировать, что технологии, разработанные за рубежом, будут соответствовать отечественным стандартам безопасности при взаимодействии с чувствительными системами.</w:t>
      </w:r>
      <w:r w:rsidRPr="00847C30">
        <w:rPr>
          <w:rFonts w:ascii="Times New Roman" w:eastAsia="Times New Roman" w:hAnsi="Times New Roman"/>
          <w:color w:val="000000"/>
          <w:sz w:val="24"/>
          <w:szCs w:val="24"/>
          <w:lang w:val="en-DE" w:eastAsia="en-GB"/>
        </w:rPr>
        <w:br/>
        <w:t xml:space="preserve">Подход, ориентированный на интерфейс, - это первый шаг к более широкому плану обеспечения безопасности. В книге «Генезис», опубликованной в прошлом году, Генри Киссинджер, Крейг Манди и Эрик Шмидт предложили разработать «Книгу законов ai», основанную на юридических прецедентах, судебной практике, научных комментариях и человеческих нормах, и обосновали необходимость кодирования концепции человеческого достоинства в системах ai для обеспечения их работы в соответствии с этическими принципами. Создавая практические механизмы контроля взаимодействия ай с реальным миром, мы можем управлять его непосредственными рисками, а в долгосрочной перспективе работать над тем, чтобы привести ай в </w:t>
      </w:r>
      <w:r w:rsidRPr="00847C30">
        <w:rPr>
          <w:rFonts w:ascii="Times New Roman" w:eastAsia="Times New Roman" w:hAnsi="Times New Roman"/>
          <w:color w:val="000000"/>
          <w:sz w:val="24"/>
          <w:szCs w:val="24"/>
          <w:lang w:val="en-DE" w:eastAsia="en-GB"/>
        </w:rPr>
        <w:lastRenderedPageBreak/>
        <w:t>соответствие с человеческими ценностями. </w:t>
      </w:r>
      <w:r w:rsidRPr="00847C30">
        <w:rPr>
          <w:rFonts w:ascii="Times New Roman" w:eastAsia="Times New Roman" w:hAnsi="Times New Roman"/>
          <w:color w:val="000000"/>
          <w:sz w:val="24"/>
          <w:szCs w:val="24"/>
          <w:lang w:val="en-DE" w:eastAsia="en-GB"/>
        </w:rPr>
        <w:br/>
        <w:t>Эффективной и прагматичной отправной точкой является управление искусственными интеллектами в точке контакта с реальным миром. Мы должны выйти за рамки тщетного стремления к идеальному решению и принять систему, которая может адаптироваться так же быстро, как и технология, которой она призвана управлять. Таким образом, мы сможем использовать мощь ai и одновременно управлять ее рисками, обеспечивая инновации и безопасность.■</w:t>
      </w:r>
      <w:r w:rsidRPr="00847C30">
        <w:rPr>
          <w:rFonts w:ascii="Times New Roman" w:eastAsia="Times New Roman" w:hAnsi="Times New Roman"/>
          <w:color w:val="000000"/>
          <w:sz w:val="24"/>
          <w:szCs w:val="24"/>
          <w:lang w:val="en-DE" w:eastAsia="en-GB"/>
        </w:rPr>
        <w:br/>
      </w:r>
      <w:r w:rsidRPr="00847C30">
        <w:rPr>
          <w:rFonts w:ascii="Times New Roman" w:eastAsia="Times New Roman" w:hAnsi="Times New Roman"/>
          <w:i/>
          <w:iCs/>
          <w:color w:val="000000"/>
          <w:sz w:val="24"/>
          <w:szCs w:val="24"/>
          <w:lang w:val="en-DE" w:eastAsia="en-GB"/>
        </w:rPr>
        <w:t>R.</w:t>
      </w:r>
      <w:r w:rsidRPr="00847C30">
        <w:rPr>
          <w:rFonts w:ascii="Times New Roman" w:eastAsia="Times New Roman" w:hAnsi="Times New Roman"/>
          <w:color w:val="000000"/>
          <w:sz w:val="24"/>
          <w:szCs w:val="24"/>
          <w:lang w:val="en-DE" w:eastAsia="en-GB"/>
        </w:rPr>
        <w:t> </w:t>
      </w:r>
      <w:r w:rsidRPr="00847C30">
        <w:rPr>
          <w:rFonts w:ascii="Times New Roman" w:eastAsia="Times New Roman" w:hAnsi="Times New Roman"/>
          <w:i/>
          <w:iCs/>
          <w:color w:val="000000"/>
          <w:sz w:val="24"/>
          <w:szCs w:val="24"/>
          <w:lang w:val="en-DE" w:eastAsia="en-GB"/>
        </w:rPr>
        <w:t>Мартин Чавес - член совета директоров Alphabet, вице-председатель Sixth Street Partners и бывшийфинансовый директор</w:t>
      </w:r>
      <w:r w:rsidRPr="00847C30">
        <w:rPr>
          <w:rFonts w:ascii="Times New Roman" w:eastAsia="Times New Roman" w:hAnsi="Times New Roman"/>
          <w:color w:val="000000"/>
          <w:sz w:val="24"/>
          <w:szCs w:val="24"/>
          <w:lang w:val="en-DE" w:eastAsia="en-GB"/>
        </w:rPr>
        <w:t> </w:t>
      </w:r>
      <w:r w:rsidRPr="00847C30">
        <w:rPr>
          <w:rFonts w:ascii="Times New Roman" w:eastAsia="Times New Roman" w:hAnsi="Times New Roman"/>
          <w:i/>
          <w:iCs/>
          <w:color w:val="000000"/>
          <w:sz w:val="24"/>
          <w:szCs w:val="24"/>
          <w:lang w:val="en-DE" w:eastAsia="en-GB"/>
        </w:rPr>
        <w:t>Goldman Sachs.</w:t>
      </w:r>
    </w:p>
    <w:p w14:paraId="071BBA25" w14:textId="77777777" w:rsidR="00847C30" w:rsidRPr="00847C30" w:rsidRDefault="00847C30" w:rsidP="00847C30">
      <w:pPr>
        <w:spacing w:before="100" w:beforeAutospacing="1" w:after="100" w:afterAutospacing="1" w:line="240" w:lineRule="auto"/>
        <w:rPr>
          <w:rFonts w:ascii="Times New Roman" w:eastAsia="Times New Roman" w:hAnsi="Times New Roman"/>
          <w:color w:val="000000"/>
          <w:sz w:val="24"/>
          <w:szCs w:val="24"/>
          <w:lang w:val="en-DE" w:eastAsia="en-GB"/>
        </w:rPr>
      </w:pPr>
    </w:p>
    <w:p w14:paraId="4DC0DB7B" w14:textId="77777777" w:rsidR="00847C30" w:rsidRPr="00847C30" w:rsidRDefault="00847C30" w:rsidP="00847C30">
      <w:pPr>
        <w:spacing w:after="0" w:line="240" w:lineRule="auto"/>
        <w:rPr>
          <w:rFonts w:ascii="Times New Roman" w:eastAsia="Times New Roman" w:hAnsi="Times New Roman"/>
          <w:sz w:val="24"/>
          <w:szCs w:val="24"/>
          <w:lang w:val="en-DE" w:eastAsia="en-GB"/>
        </w:rPr>
      </w:pPr>
    </w:p>
    <w:p w14:paraId="3024677E" w14:textId="77777777" w:rsidR="00847C30" w:rsidRDefault="00847C30" w:rsidP="00DA5B0A">
      <w:pPr>
        <w:spacing w:after="0" w:line="240" w:lineRule="auto"/>
        <w:textAlignment w:val="baseline"/>
        <w:outlineLvl w:val="0"/>
        <w:rPr>
          <w:rFonts w:ascii="var(--mb-typeface-serif)" w:eastAsia="Times New Roman" w:hAnsi="var(--mb-typeface-serif)"/>
          <w:b/>
          <w:bCs/>
          <w:color w:val="0D0D0D"/>
          <w:kern w:val="36"/>
          <w:sz w:val="48"/>
          <w:szCs w:val="48"/>
          <w:lang w:val="en-DE" w:eastAsia="en-GB"/>
        </w:rPr>
      </w:pPr>
    </w:p>
    <w:p w14:paraId="2CD73735" w14:textId="77777777" w:rsidR="00847C30" w:rsidRDefault="00847C30">
      <w:pPr>
        <w:spacing w:after="0" w:line="240" w:lineRule="auto"/>
        <w:rPr>
          <w:rFonts w:ascii="var(--mb-typeface-serif)" w:eastAsia="Times New Roman" w:hAnsi="var(--mb-typeface-serif)"/>
          <w:b/>
          <w:bCs/>
          <w:color w:val="0D0D0D"/>
          <w:kern w:val="36"/>
          <w:sz w:val="48"/>
          <w:szCs w:val="48"/>
          <w:lang w:val="en-DE" w:eastAsia="en-GB"/>
        </w:rPr>
      </w:pPr>
      <w:r>
        <w:rPr>
          <w:rFonts w:ascii="var(--mb-typeface-serif)" w:eastAsia="Times New Roman" w:hAnsi="var(--mb-typeface-serif)"/>
          <w:b/>
          <w:bCs/>
          <w:color w:val="0D0D0D"/>
          <w:kern w:val="36"/>
          <w:sz w:val="48"/>
          <w:szCs w:val="48"/>
          <w:lang w:val="en-DE" w:eastAsia="en-GB"/>
        </w:rPr>
        <w:br w:type="page"/>
      </w:r>
    </w:p>
    <w:p w14:paraId="3A1C89E6" w14:textId="7FA30A83" w:rsidR="00DA5B0A" w:rsidRDefault="00DA5B0A" w:rsidP="00DA5B0A">
      <w:pPr>
        <w:spacing w:after="0" w:line="240" w:lineRule="auto"/>
        <w:textAlignment w:val="baseline"/>
        <w:outlineLvl w:val="0"/>
        <w:rPr>
          <w:rFonts w:ascii="var(--mb-typeface-serif)" w:eastAsia="Times New Roman" w:hAnsi="var(--mb-typeface-serif)"/>
          <w:b/>
          <w:bCs/>
          <w:color w:val="0D0D0D"/>
          <w:kern w:val="36"/>
          <w:sz w:val="48"/>
          <w:szCs w:val="48"/>
          <w:lang w:val="en-DE" w:eastAsia="en-GB"/>
        </w:rPr>
      </w:pPr>
      <w:r w:rsidRPr="00DA5B0A">
        <w:rPr>
          <w:rFonts w:ascii="var(--mb-typeface-serif)" w:eastAsia="Times New Roman" w:hAnsi="var(--mb-typeface-serif)"/>
          <w:b/>
          <w:bCs/>
          <w:color w:val="0D0D0D"/>
          <w:kern w:val="36"/>
          <w:sz w:val="48"/>
          <w:szCs w:val="48"/>
          <w:lang w:val="en-DE" w:eastAsia="en-GB"/>
        </w:rPr>
        <w:lastRenderedPageBreak/>
        <w:t xml:space="preserve">To keep on top of AI, focus on the points where it touches the outside world </w:t>
      </w:r>
    </w:p>
    <w:p w14:paraId="143644EB" w14:textId="77777777" w:rsidR="00DA5B0A" w:rsidRDefault="00DA5B0A" w:rsidP="00DA5B0A">
      <w:pPr>
        <w:spacing w:after="0" w:line="240" w:lineRule="auto"/>
        <w:textAlignment w:val="baseline"/>
        <w:outlineLvl w:val="0"/>
        <w:rPr>
          <w:rFonts w:ascii="var(--mb-typeface-serif)" w:eastAsia="Times New Roman" w:hAnsi="var(--mb-typeface-serif)"/>
          <w:b/>
          <w:bCs/>
          <w:color w:val="0D0D0D"/>
          <w:kern w:val="36"/>
          <w:sz w:val="48"/>
          <w:szCs w:val="48"/>
          <w:lang w:val="en-DE" w:eastAsia="en-GB"/>
        </w:rPr>
      </w:pPr>
    </w:p>
    <w:p w14:paraId="54CA3689" w14:textId="12976679" w:rsidR="00DA5B0A" w:rsidRPr="00DA5B0A" w:rsidRDefault="00DA5B0A" w:rsidP="00DA5B0A">
      <w:pPr>
        <w:spacing w:after="0" w:line="240" w:lineRule="auto"/>
        <w:textAlignment w:val="baseline"/>
        <w:outlineLvl w:val="0"/>
        <w:rPr>
          <w:rFonts w:ascii="var(--mb-typeface-serif)" w:eastAsia="Times New Roman" w:hAnsi="var(--mb-typeface-serif)"/>
          <w:b/>
          <w:bCs/>
          <w:color w:val="0D0D0D"/>
          <w:kern w:val="36"/>
          <w:sz w:val="48"/>
          <w:szCs w:val="48"/>
          <w:lang w:val="en-DE" w:eastAsia="en-GB"/>
        </w:rPr>
      </w:pPr>
      <w:r w:rsidRPr="00DA5B0A">
        <w:rPr>
          <w:rFonts w:ascii="var(--mb-typeface-serif)" w:eastAsia="Times New Roman" w:hAnsi="var(--mb-typeface-serif)"/>
          <w:b/>
          <w:bCs/>
          <w:color w:val="0D0D0D"/>
          <w:kern w:val="36"/>
          <w:sz w:val="48"/>
          <w:szCs w:val="48"/>
          <w:lang w:val="en-DE" w:eastAsia="en-GB"/>
        </w:rPr>
        <w:t>https://www.economist.com/by-invitation/2025/04/10/to-keep-on-top-of-ai-focus-on-the-points-where-it-touches-the-outside-world-writes-martin-chavez</w:t>
      </w:r>
    </w:p>
    <w:p w14:paraId="73E30768" w14:textId="77777777" w:rsidR="00DA5B0A" w:rsidRPr="00DA5B0A" w:rsidRDefault="00DA5B0A" w:rsidP="00DA5B0A">
      <w:pPr>
        <w:spacing w:before="100" w:beforeAutospacing="1" w:after="0" w:line="240" w:lineRule="auto"/>
        <w:textAlignment w:val="baseline"/>
        <w:outlineLvl w:val="1"/>
        <w:rPr>
          <w:rFonts w:ascii="var(--mb-typeface-serif)" w:eastAsia="Times New Roman" w:hAnsi="var(--mb-typeface-serif)"/>
          <w:b/>
          <w:bCs/>
          <w:color w:val="0D0D0D"/>
          <w:sz w:val="36"/>
          <w:szCs w:val="36"/>
          <w:lang w:val="en-DE" w:eastAsia="en-GB"/>
        </w:rPr>
      </w:pPr>
      <w:r w:rsidRPr="00DA5B0A">
        <w:rPr>
          <w:rFonts w:ascii="var(--mb-typeface-serif)" w:eastAsia="Times New Roman" w:hAnsi="var(--mb-typeface-serif)"/>
          <w:b/>
          <w:bCs/>
          <w:color w:val="0D0D0D"/>
          <w:sz w:val="36"/>
          <w:szCs w:val="36"/>
          <w:lang w:val="en-DE" w:eastAsia="en-GB"/>
        </w:rPr>
        <w:t>The Alphabet director suggests drawing inspiration from the way financial markets and railways are policed</w:t>
      </w:r>
    </w:p>
    <w:p w14:paraId="38CBAE39" w14:textId="776E601B" w:rsidR="00DA5B0A" w:rsidRPr="00DA5B0A" w:rsidRDefault="00DA5B0A" w:rsidP="00DA5B0A">
      <w:pPr>
        <w:spacing w:after="0" w:line="240" w:lineRule="auto"/>
        <w:textAlignment w:val="baseline"/>
        <w:rPr>
          <w:rFonts w:ascii="inherit" w:eastAsia="Times New Roman" w:hAnsi="inherit"/>
          <w:color w:val="0D0D0D"/>
          <w:sz w:val="26"/>
          <w:szCs w:val="26"/>
          <w:lang w:val="en-DE" w:eastAsia="en-GB"/>
        </w:rPr>
      </w:pPr>
    </w:p>
    <w:p w14:paraId="78E7A183" w14:textId="77777777" w:rsidR="00DA5B0A" w:rsidRPr="00DA5B0A" w:rsidRDefault="00DA5B0A" w:rsidP="00DA5B0A">
      <w:pPr>
        <w:spacing w:before="100" w:beforeAutospacing="1" w:after="10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inherit" w:eastAsia="Times New Roman" w:hAnsi="inherit"/>
          <w:caps/>
          <w:color w:val="0D0D0D"/>
          <w:sz w:val="26"/>
          <w:szCs w:val="26"/>
          <w:bdr w:val="none" w:sz="0" w:space="0" w:color="auto" w:frame="1"/>
          <w:lang w:val="en-DE" w:eastAsia="en-GB"/>
        </w:rPr>
        <w:t>A</w:t>
      </w:r>
      <w:r w:rsidRPr="00DA5B0A">
        <w:rPr>
          <w:rFonts w:ascii="inherit" w:eastAsia="Times New Roman" w:hAnsi="inherit"/>
          <w:color w:val="0D0D0D"/>
          <w:sz w:val="24"/>
          <w:szCs w:val="24"/>
          <w:bdr w:val="none" w:sz="0" w:space="0" w:color="auto" w:frame="1"/>
          <w:lang w:val="en-DE" w:eastAsia="en-GB"/>
        </w:rPr>
        <w:t>rtificial intelligence</w:t>
      </w:r>
      <w:r w:rsidRPr="00DA5B0A">
        <w:rPr>
          <w:rFonts w:ascii="var(--mb-typeface-serif)" w:eastAsia="Times New Roman" w:hAnsi="var(--mb-typeface-serif)"/>
          <w:color w:val="0D0D0D"/>
          <w:sz w:val="26"/>
          <w:szCs w:val="26"/>
          <w:lang w:val="en-DE" w:eastAsia="en-GB"/>
        </w:rPr>
        <w:t> advances relentlessly, presenting both immense potential and profound risks. How do we promote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innovation while effectively managing those risks?</w:t>
      </w:r>
    </w:p>
    <w:p w14:paraId="692C1280"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Current thinking on how to regulate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largely emphasises governing the models themselves. California’s now-vetoed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Safety Bill, for example, would have held developers liable for system misuse and required a “kill switch”. Developing safe, ethical and efficient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systems inevitably demands standards and testing. As with any tool, we need guidelines for what qualifies as acceptable.</w:t>
      </w:r>
    </w:p>
    <w:p w14:paraId="5ACEB8B3" w14:textId="77777777" w:rsidR="00DA5B0A" w:rsidRPr="00DA5B0A" w:rsidRDefault="00DA5B0A" w:rsidP="00DA5B0A">
      <w:pPr>
        <w:spacing w:before="100" w:beforeAutospacing="1" w:after="10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But as Alan Turing proved mathematically nearly a century ago, no approach guarantees the correctness of any sufficiently complex program. Furthermore, the advent of DeepSeek, from China, suggests the world has arrived at a tipping point where open-source models proliferate beyond any governance.</w:t>
      </w:r>
    </w:p>
    <w:p w14:paraId="4790A310" w14:textId="77777777" w:rsidR="00DA5B0A" w:rsidRPr="00DA5B0A" w:rsidRDefault="00DA5B0A" w:rsidP="00DA5B0A">
      <w:pPr>
        <w:spacing w:before="100" w:beforeAutospacing="1" w:after="10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Governance must begin with a practical approach that addresses the junctions where these models interact with—and influence—the outside world.</w:t>
      </w:r>
    </w:p>
    <w:p w14:paraId="12CC7634" w14:textId="77777777" w:rsidR="00DA5B0A" w:rsidRPr="00DA5B0A" w:rsidRDefault="00DA5B0A" w:rsidP="00DA5B0A">
      <w:pPr>
        <w:spacing w:before="100" w:beforeAutospacing="1" w:after="10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History offers lessons. Consider the 19th-century railway boom. Society achieved safety not by regulating each train, but by managing track junctions where accidents most often occurred. </w:t>
      </w:r>
    </w:p>
    <w:p w14:paraId="48DF771E" w14:textId="77777777" w:rsidR="00DA5B0A" w:rsidRPr="00DA5B0A" w:rsidRDefault="00DA5B0A" w:rsidP="00DA5B0A">
      <w:pPr>
        <w:spacing w:before="100" w:beforeAutospacing="1" w:after="10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 xml:space="preserve">Financial markets adopted this approach more recently. The Securities and Exchange Commission’s Market Access Rule doesn’t constrain the internal </w:t>
      </w:r>
      <w:r w:rsidRPr="00DA5B0A">
        <w:rPr>
          <w:rFonts w:ascii="var(--mb-typeface-serif)" w:eastAsia="Times New Roman" w:hAnsi="var(--mb-typeface-serif)"/>
          <w:color w:val="0D0D0D"/>
          <w:sz w:val="26"/>
          <w:szCs w:val="26"/>
          <w:lang w:val="en-DE" w:eastAsia="en-GB"/>
        </w:rPr>
        <w:lastRenderedPageBreak/>
        <w:t>workings of traders. Instead, regulators emphasise the points of contact with the market, mandating capital-adequacy checks before algorithms enter each order into the stockmarket. Similarly, the Federal Reserve doesn’t micromanage banks. Rather, it requires them to simulate their cashflow, income statement and balance-sheet nine quarters into the future, demonstrating sufficient capital to lend and make markets in severely adverse scenarios of the regulator’s choosing. In each case, governing the points of interaction proved more effective than attempting to control the internal complexity of each system.</w:t>
      </w:r>
    </w:p>
    <w:p w14:paraId="3FE985A7"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Apply the same logic to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Policymakers and regulators must shift their attention to the interfaces through which </w:t>
      </w:r>
      <w:r w:rsidRPr="00DA5B0A">
        <w:rPr>
          <w:rFonts w:ascii="inherit" w:eastAsia="Times New Roman" w:hAnsi="inherit"/>
          <w:color w:val="0D0D0D"/>
          <w:sz w:val="24"/>
          <w:szCs w:val="24"/>
          <w:bdr w:val="none" w:sz="0" w:space="0" w:color="auto" w:frame="1"/>
          <w:lang w:val="en-DE" w:eastAsia="en-GB"/>
        </w:rPr>
        <w:t>ai </w:t>
      </w:r>
      <w:r w:rsidRPr="00DA5B0A">
        <w:rPr>
          <w:rFonts w:ascii="var(--mb-typeface-serif)" w:eastAsia="Times New Roman" w:hAnsi="var(--mb-typeface-serif)"/>
          <w:color w:val="0D0D0D"/>
          <w:sz w:val="26"/>
          <w:szCs w:val="26"/>
          <w:lang w:val="en-DE" w:eastAsia="en-GB"/>
        </w:rPr>
        <w:t>systems and agents connect with critical infrastructure, financial markets, health care and other sensitive domains. They should design and set clear, testable standards for how </w:t>
      </w:r>
      <w:r w:rsidRPr="00DA5B0A">
        <w:rPr>
          <w:rFonts w:ascii="inherit" w:eastAsia="Times New Roman" w:hAnsi="inherit"/>
          <w:color w:val="0D0D0D"/>
          <w:sz w:val="24"/>
          <w:szCs w:val="24"/>
          <w:bdr w:val="none" w:sz="0" w:space="0" w:color="auto" w:frame="1"/>
          <w:lang w:val="en-DE" w:eastAsia="en-GB"/>
        </w:rPr>
        <w:t>ai </w:t>
      </w:r>
      <w:r w:rsidRPr="00DA5B0A">
        <w:rPr>
          <w:rFonts w:ascii="var(--mb-typeface-serif)" w:eastAsia="Times New Roman" w:hAnsi="var(--mb-typeface-serif)"/>
          <w:color w:val="0D0D0D"/>
          <w:sz w:val="26"/>
          <w:szCs w:val="26"/>
          <w:lang w:val="en-DE" w:eastAsia="en-GB"/>
        </w:rPr>
        <w:t>systems interact with the real world, including stress tests, audit trails, attestations and certifications. We want as little regulation as possible, and no less.</w:t>
      </w:r>
    </w:p>
    <w:p w14:paraId="7CB923A4"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Of course, with so many potential uses, no single approach handles all risk. For example, a chatbot might manipulate humans, or an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system might create a novel bioweapon. Governance at the system-interface level alone cannot manage such risks. We must also build resilience through simulation and scenario planning, like the stress tests for monitoring banks.</w:t>
      </w:r>
    </w:p>
    <w:p w14:paraId="659951D2"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Standards must sit on a continuum to meet the complexity and risk of </w:t>
      </w:r>
      <w:r w:rsidRPr="00DA5B0A">
        <w:rPr>
          <w:rFonts w:ascii="inherit" w:eastAsia="Times New Roman" w:hAnsi="inherit"/>
          <w:color w:val="0D0D0D"/>
          <w:sz w:val="24"/>
          <w:szCs w:val="24"/>
          <w:bdr w:val="none" w:sz="0" w:space="0" w:color="auto" w:frame="1"/>
          <w:lang w:val="en-DE" w:eastAsia="en-GB"/>
        </w:rPr>
        <w:t>ai </w:t>
      </w:r>
      <w:r w:rsidRPr="00DA5B0A">
        <w:rPr>
          <w:rFonts w:ascii="var(--mb-typeface-serif)" w:eastAsia="Times New Roman" w:hAnsi="var(--mb-typeface-serif)"/>
          <w:color w:val="0D0D0D"/>
          <w:sz w:val="26"/>
          <w:szCs w:val="26"/>
          <w:lang w:val="en-DE" w:eastAsia="en-GB"/>
        </w:rPr>
        <w:t>systems. Rather than set rules with arbitrary thresholds, move those thresholds dynamically to reflect the probability and severity of negative interactions with the outside world.</w:t>
      </w:r>
    </w:p>
    <w:p w14:paraId="45E4E03F"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To truly harness the power of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governance must also align corporate incentives with public safety. Collaborative governance and open communication can build trust and pave a way that promotes safety and innovation—using fines, penalties and other mechanisms to encourage developers to prioritise safety.</w:t>
      </w:r>
    </w:p>
    <w:p w14:paraId="787BAD7F" w14:textId="77777777" w:rsidR="00DA5B0A" w:rsidRPr="00DA5B0A" w:rsidRDefault="00DA5B0A" w:rsidP="00DA5B0A">
      <w:pPr>
        <w:spacing w:before="100" w:beforeAutospacing="1" w:after="10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The European Union’s Artificial Intelligence Act offers some ideas for interface-level standards by implementing governance based on the level of risk. But the act also leaves important questions unanswered and at the same time overreaches. Whereas high-risk systems face outright bans or strict obligations, those deemed low-risk—generally systems meant for personal use—remain minimally regulated, despite their very real influence. </w:t>
      </w:r>
    </w:p>
    <w:p w14:paraId="3BBBCE75"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As the demand for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tools outstrips supply, America has the opportunity to lead in establishing global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standards that promise security without stifling innovation. But it must act quickly and decisively if it is to remain competitive.</w:t>
      </w:r>
    </w:p>
    <w:p w14:paraId="2EEC38F2"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 xml:space="preserve">Adopting standards at the system-interface level constitutes an important first step. Over-regulation remains a big concern—but the inconsistent approach America has taken thus far has only served as an obstacle for developers and </w:t>
      </w:r>
      <w:r w:rsidRPr="00DA5B0A">
        <w:rPr>
          <w:rFonts w:ascii="var(--mb-typeface-serif)" w:eastAsia="Times New Roman" w:hAnsi="var(--mb-typeface-serif)"/>
          <w:color w:val="0D0D0D"/>
          <w:sz w:val="26"/>
          <w:szCs w:val="26"/>
          <w:lang w:val="en-DE" w:eastAsia="en-GB"/>
        </w:rPr>
        <w:lastRenderedPageBreak/>
        <w:t>users alike, slowing down creation with incompatible state-by-state rules. With clear, consistent and comprehensive governance, however, America could accelerate domestic innovation and become the global hub for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w:t>
      </w:r>
    </w:p>
    <w:p w14:paraId="3751589B"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A public-private partnership will be necessary to build a flexible, forward-thinking and resilient framework. This partnership can develop system-interface standards for </w:t>
      </w:r>
      <w:r w:rsidRPr="00DA5B0A">
        <w:rPr>
          <w:rFonts w:ascii="inherit" w:eastAsia="Times New Roman" w:hAnsi="inherit"/>
          <w:color w:val="0D0D0D"/>
          <w:sz w:val="24"/>
          <w:szCs w:val="24"/>
          <w:bdr w:val="none" w:sz="0" w:space="0" w:color="auto" w:frame="1"/>
          <w:lang w:val="en-DE" w:eastAsia="en-GB"/>
        </w:rPr>
        <w:t>ai </w:t>
      </w:r>
      <w:r w:rsidRPr="00DA5B0A">
        <w:rPr>
          <w:rFonts w:ascii="var(--mb-typeface-serif)" w:eastAsia="Times New Roman" w:hAnsi="var(--mb-typeface-serif)"/>
          <w:color w:val="0D0D0D"/>
          <w:sz w:val="26"/>
          <w:szCs w:val="26"/>
          <w:lang w:val="en-DE" w:eastAsia="en-GB"/>
        </w:rPr>
        <w:t>systems and guarantee that foreign-developed technology adheres to domestic safety standards when interacting with sensitive systems.</w:t>
      </w:r>
    </w:p>
    <w:p w14:paraId="46C11118"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An interface-centric approach offers a first step towards a broader plan for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safety. In “Genesis”, a book published last year, Henry Kissinger, Craig Mundie and Eric Schmidt proposed developing an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Book of Laws”, informed by legal precedents, jurisprudence, scholarly commentary and human norms, and made the case for encoding the concept of human dignity into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systems to ensure they operate according to ethical principles. By establishing practical mechanisms for controlling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’s interaction with the real world, we can manage its immediate risks while also working in the long term to align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with human values. </w:t>
      </w:r>
    </w:p>
    <w:p w14:paraId="77B996F0"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var(--mb-typeface-serif)" w:eastAsia="Times New Roman" w:hAnsi="var(--mb-typeface-serif)"/>
          <w:color w:val="0D0D0D"/>
          <w:sz w:val="26"/>
          <w:szCs w:val="26"/>
          <w:lang w:val="en-DE" w:eastAsia="en-GB"/>
        </w:rPr>
        <w:t>Governing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at the point of contact with the real world offers an effective and pragmatic starting point. We must move beyond the futile desire for a perfect solution and embrace a framework that can adapt as quickly as the technology it seeks to govern. By doing so, we can harness the power of </w:t>
      </w:r>
      <w:r w:rsidRPr="00DA5B0A">
        <w:rPr>
          <w:rFonts w:ascii="inherit" w:eastAsia="Times New Roman" w:hAnsi="inherit"/>
          <w:color w:val="0D0D0D"/>
          <w:sz w:val="24"/>
          <w:szCs w:val="24"/>
          <w:bdr w:val="none" w:sz="0" w:space="0" w:color="auto" w:frame="1"/>
          <w:lang w:val="en-DE" w:eastAsia="en-GB"/>
        </w:rPr>
        <w:t>ai</w:t>
      </w:r>
      <w:r w:rsidRPr="00DA5B0A">
        <w:rPr>
          <w:rFonts w:ascii="var(--mb-typeface-serif)" w:eastAsia="Times New Roman" w:hAnsi="var(--mb-typeface-serif)"/>
          <w:color w:val="0D0D0D"/>
          <w:sz w:val="26"/>
          <w:szCs w:val="26"/>
          <w:lang w:val="en-DE" w:eastAsia="en-GB"/>
        </w:rPr>
        <w:t> while managing its risks, delivering innovation together with safety.</w:t>
      </w:r>
      <w:r w:rsidRPr="00DA5B0A">
        <w:rPr>
          <w:rFonts w:ascii="Times New Roman" w:eastAsia="Times New Roman" w:hAnsi="Times New Roman"/>
          <w:color w:val="0D0D0D"/>
          <w:sz w:val="30"/>
          <w:szCs w:val="30"/>
          <w:bdr w:val="none" w:sz="0" w:space="0" w:color="auto" w:frame="1"/>
          <w:lang w:val="en-DE" w:eastAsia="en-GB"/>
        </w:rPr>
        <w:t>■</w:t>
      </w:r>
    </w:p>
    <w:p w14:paraId="25E0717F" w14:textId="77777777" w:rsidR="00DA5B0A" w:rsidRPr="00DA5B0A" w:rsidRDefault="00DA5B0A" w:rsidP="00DA5B0A">
      <w:pPr>
        <w:spacing w:beforeAutospacing="1" w:after="0" w:afterAutospacing="1" w:line="240" w:lineRule="auto"/>
        <w:textAlignment w:val="baseline"/>
        <w:rPr>
          <w:rFonts w:ascii="var(--mb-typeface-serif)" w:eastAsia="Times New Roman" w:hAnsi="var(--mb-typeface-serif)"/>
          <w:color w:val="0D0D0D"/>
          <w:sz w:val="26"/>
          <w:szCs w:val="26"/>
          <w:lang w:val="en-DE" w:eastAsia="en-GB"/>
        </w:rPr>
      </w:pPr>
      <w:r w:rsidRPr="00DA5B0A">
        <w:rPr>
          <w:rFonts w:ascii="inherit" w:eastAsia="Times New Roman" w:hAnsi="inherit"/>
          <w:i/>
          <w:iCs/>
          <w:color w:val="0D0D0D"/>
          <w:sz w:val="30"/>
          <w:szCs w:val="30"/>
          <w:bdr w:val="none" w:sz="0" w:space="0" w:color="auto" w:frame="1"/>
          <w:lang w:val="en-DE" w:eastAsia="en-GB"/>
        </w:rPr>
        <w:t>R. Martin Chavez is a board member at Alphabet, vice-chairman of Sixth Street Partners and a former</w:t>
      </w:r>
      <w:r w:rsidRPr="00DA5B0A">
        <w:rPr>
          <w:rFonts w:ascii="inherit" w:eastAsia="Times New Roman" w:hAnsi="inherit"/>
          <w:color w:val="0D0D0D"/>
          <w:sz w:val="24"/>
          <w:szCs w:val="24"/>
          <w:bdr w:val="none" w:sz="0" w:space="0" w:color="auto" w:frame="1"/>
          <w:lang w:val="en-DE" w:eastAsia="en-GB"/>
        </w:rPr>
        <w:t> </w:t>
      </w:r>
      <w:r w:rsidRPr="00DA5B0A">
        <w:rPr>
          <w:rFonts w:ascii="inherit" w:eastAsia="Times New Roman" w:hAnsi="inherit"/>
          <w:i/>
          <w:iCs/>
          <w:color w:val="0D0D0D"/>
          <w:sz w:val="30"/>
          <w:szCs w:val="30"/>
          <w:bdr w:val="none" w:sz="0" w:space="0" w:color="auto" w:frame="1"/>
          <w:lang w:val="en-DE" w:eastAsia="en-GB"/>
        </w:rPr>
        <w:t>cfo</w:t>
      </w:r>
      <w:r w:rsidRPr="00DA5B0A">
        <w:rPr>
          <w:rFonts w:ascii="inherit" w:eastAsia="Times New Roman" w:hAnsi="inherit"/>
          <w:color w:val="0D0D0D"/>
          <w:sz w:val="24"/>
          <w:szCs w:val="24"/>
          <w:bdr w:val="none" w:sz="0" w:space="0" w:color="auto" w:frame="1"/>
          <w:lang w:val="en-DE" w:eastAsia="en-GB"/>
        </w:rPr>
        <w:t> </w:t>
      </w:r>
      <w:r w:rsidRPr="00DA5B0A">
        <w:rPr>
          <w:rFonts w:ascii="inherit" w:eastAsia="Times New Roman" w:hAnsi="inherit"/>
          <w:i/>
          <w:iCs/>
          <w:color w:val="0D0D0D"/>
          <w:sz w:val="30"/>
          <w:szCs w:val="30"/>
          <w:bdr w:val="none" w:sz="0" w:space="0" w:color="auto" w:frame="1"/>
          <w:lang w:val="en-DE" w:eastAsia="en-GB"/>
        </w:rPr>
        <w:t>of</w:t>
      </w:r>
      <w:r w:rsidRPr="00DA5B0A">
        <w:rPr>
          <w:rFonts w:ascii="var(--mb-typeface-serif)" w:eastAsia="Times New Roman" w:hAnsi="var(--mb-typeface-serif)"/>
          <w:color w:val="0D0D0D"/>
          <w:sz w:val="26"/>
          <w:szCs w:val="26"/>
          <w:lang w:val="en-DE" w:eastAsia="en-GB"/>
        </w:rPr>
        <w:t> </w:t>
      </w:r>
      <w:r w:rsidRPr="00DA5B0A">
        <w:rPr>
          <w:rFonts w:ascii="inherit" w:eastAsia="Times New Roman" w:hAnsi="inherit"/>
          <w:i/>
          <w:iCs/>
          <w:color w:val="0D0D0D"/>
          <w:sz w:val="30"/>
          <w:szCs w:val="30"/>
          <w:bdr w:val="none" w:sz="0" w:space="0" w:color="auto" w:frame="1"/>
          <w:lang w:val="en-DE" w:eastAsia="en-GB"/>
        </w:rPr>
        <w:t>Goldman Sachs.</w:t>
      </w:r>
    </w:p>
    <w:p w14:paraId="0FB589E5" w14:textId="77777777" w:rsidR="009E36AB" w:rsidRPr="00DA5B0A" w:rsidRDefault="009E36AB">
      <w:pPr>
        <w:rPr>
          <w:lang w:val="en-DE"/>
        </w:rPr>
      </w:pPr>
    </w:p>
    <w:sectPr w:rsidR="009E36AB" w:rsidRPr="00DA5B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notTrueType/>
    <w:pitch w:val="default"/>
  </w:font>
  <w:font w:name="var(--mb-typeface-serif)">
    <w:altName w:val="Cambria"/>
    <w:panose1 w:val="020B0604020202020204"/>
    <w:charset w:val="00"/>
    <w:family w:val="roman"/>
    <w:pitch w:val="default"/>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3220254"/>
    <w:multiLevelType w:val="multilevel"/>
    <w:tmpl w:val="FF10A09A"/>
    <w:lvl w:ilvl="0">
      <w:start w:val="1"/>
      <w:numFmt w:val="upperRoman"/>
      <w:pStyle w:val="Heading1"/>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pStyle w:val="Heading3"/>
      <w:lvlText w:val="%3."/>
      <w:lvlJc w:val="left"/>
      <w:pPr>
        <w:ind w:left="2160" w:firstLine="0"/>
      </w:pPr>
      <w:rPr>
        <w:rFonts w:hint="default"/>
      </w:rPr>
    </w:lvl>
    <w:lvl w:ilvl="3">
      <w:start w:val="1"/>
      <w:numFmt w:val="lowerLetter"/>
      <w:pStyle w:val="Heading4"/>
      <w:lvlText w:val="%4)"/>
      <w:lvlJc w:val="left"/>
      <w:pPr>
        <w:ind w:left="2880" w:firstLine="0"/>
      </w:pPr>
      <w:rPr>
        <w:rFonts w:hint="default"/>
      </w:rPr>
    </w:lvl>
    <w:lvl w:ilvl="4">
      <w:start w:val="1"/>
      <w:numFmt w:val="decimal"/>
      <w:pStyle w:val="Heading5"/>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1"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AF4967"/>
    <w:multiLevelType w:val="multilevel"/>
    <w:tmpl w:val="6728E686"/>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5"/>
  </w:num>
  <w:num w:numId="2" w16cid:durableId="721097167">
    <w:abstractNumId w:val="13"/>
  </w:num>
  <w:num w:numId="3" w16cid:durableId="1471165884">
    <w:abstractNumId w:val="1"/>
  </w:num>
  <w:num w:numId="4" w16cid:durableId="1915431797">
    <w:abstractNumId w:val="5"/>
  </w:num>
  <w:num w:numId="5" w16cid:durableId="1342128616">
    <w:abstractNumId w:val="3"/>
  </w:num>
  <w:num w:numId="6" w16cid:durableId="712387219">
    <w:abstractNumId w:val="9"/>
  </w:num>
  <w:num w:numId="7" w16cid:durableId="19683939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2"/>
  </w:num>
  <w:num w:numId="10" w16cid:durableId="414980495">
    <w:abstractNumId w:val="2"/>
  </w:num>
  <w:num w:numId="11" w16cid:durableId="1672416664">
    <w:abstractNumId w:val="15"/>
  </w:num>
  <w:num w:numId="12" w16cid:durableId="1789278823">
    <w:abstractNumId w:val="15"/>
  </w:num>
  <w:num w:numId="13" w16cid:durableId="462501198">
    <w:abstractNumId w:val="8"/>
  </w:num>
  <w:num w:numId="14" w16cid:durableId="1194925788">
    <w:abstractNumId w:val="8"/>
  </w:num>
  <w:num w:numId="15" w16cid:durableId="1208688905">
    <w:abstractNumId w:val="4"/>
  </w:num>
  <w:num w:numId="16" w16cid:durableId="1847475997">
    <w:abstractNumId w:val="4"/>
  </w:num>
  <w:num w:numId="17" w16cid:durableId="766458707">
    <w:abstractNumId w:val="4"/>
  </w:num>
  <w:num w:numId="18" w16cid:durableId="803276861">
    <w:abstractNumId w:val="4"/>
  </w:num>
  <w:num w:numId="19" w16cid:durableId="871190740">
    <w:abstractNumId w:val="4"/>
  </w:num>
  <w:num w:numId="20" w16cid:durableId="87818916">
    <w:abstractNumId w:val="2"/>
  </w:num>
  <w:num w:numId="21" w16cid:durableId="465589493">
    <w:abstractNumId w:val="12"/>
  </w:num>
  <w:num w:numId="22" w16cid:durableId="1682466668">
    <w:abstractNumId w:val="15"/>
  </w:num>
  <w:num w:numId="23" w16cid:durableId="355544191">
    <w:abstractNumId w:val="7"/>
  </w:num>
  <w:num w:numId="24" w16cid:durableId="852262562">
    <w:abstractNumId w:val="0"/>
  </w:num>
  <w:num w:numId="25" w16cid:durableId="1390304214">
    <w:abstractNumId w:val="0"/>
  </w:num>
  <w:num w:numId="26" w16cid:durableId="2103909535">
    <w:abstractNumId w:val="6"/>
  </w:num>
  <w:num w:numId="27" w16cid:durableId="856624584">
    <w:abstractNumId w:val="11"/>
  </w:num>
  <w:num w:numId="28" w16cid:durableId="1984776058">
    <w:abstractNumId w:val="10"/>
  </w:num>
  <w:num w:numId="29" w16cid:durableId="804591106">
    <w:abstractNumId w:val="10"/>
  </w:num>
  <w:num w:numId="30" w16cid:durableId="1623264122">
    <w:abstractNumId w:val="10"/>
  </w:num>
  <w:num w:numId="31" w16cid:durableId="2613824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B0A"/>
    <w:rsid w:val="001835A5"/>
    <w:rsid w:val="00200387"/>
    <w:rsid w:val="00247344"/>
    <w:rsid w:val="0029794F"/>
    <w:rsid w:val="002D5781"/>
    <w:rsid w:val="004B0688"/>
    <w:rsid w:val="005336DB"/>
    <w:rsid w:val="005E22E7"/>
    <w:rsid w:val="005E2881"/>
    <w:rsid w:val="005E29D3"/>
    <w:rsid w:val="005F01EB"/>
    <w:rsid w:val="0066305E"/>
    <w:rsid w:val="00665389"/>
    <w:rsid w:val="006B233C"/>
    <w:rsid w:val="006B41AA"/>
    <w:rsid w:val="006C1619"/>
    <w:rsid w:val="006D2860"/>
    <w:rsid w:val="006E376F"/>
    <w:rsid w:val="00714FF9"/>
    <w:rsid w:val="007A1C80"/>
    <w:rsid w:val="007C562F"/>
    <w:rsid w:val="00812D4F"/>
    <w:rsid w:val="00847C30"/>
    <w:rsid w:val="008507D7"/>
    <w:rsid w:val="008C3306"/>
    <w:rsid w:val="009318D0"/>
    <w:rsid w:val="009D1564"/>
    <w:rsid w:val="009E36AB"/>
    <w:rsid w:val="009F753E"/>
    <w:rsid w:val="00AA7ADA"/>
    <w:rsid w:val="00AC2E20"/>
    <w:rsid w:val="00B75034"/>
    <w:rsid w:val="00C04AD0"/>
    <w:rsid w:val="00C162E3"/>
    <w:rsid w:val="00C60F95"/>
    <w:rsid w:val="00C618C4"/>
    <w:rsid w:val="00C940B2"/>
    <w:rsid w:val="00CD338A"/>
    <w:rsid w:val="00CD49BA"/>
    <w:rsid w:val="00CF5FCE"/>
    <w:rsid w:val="00D547AF"/>
    <w:rsid w:val="00D80D3A"/>
    <w:rsid w:val="00D95656"/>
    <w:rsid w:val="00DA5B0A"/>
    <w:rsid w:val="00E8028B"/>
    <w:rsid w:val="00E8041F"/>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5D0CA0D2"/>
  <w15:chartTrackingRefBased/>
  <w15:docId w15:val="{2BD5C121-D3B5-A44E-8B98-9B7145D4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200387"/>
    <w:pPr>
      <w:keepNext/>
      <w:keepLines/>
      <w:numPr>
        <w:numId w:val="30"/>
      </w:numPr>
      <w:spacing w:before="360" w:after="80"/>
      <w:outlineLvl w:val="0"/>
    </w:pPr>
    <w:rPr>
      <w:rFonts w:asciiTheme="majorHAnsi" w:eastAsiaTheme="majorEastAsia" w:hAnsiTheme="majorHAnsi" w:cs="Times New Roman (Headings CS)"/>
      <w:b/>
      <w:color w:val="FF0000"/>
      <w:sz w:val="28"/>
      <w:szCs w:val="40"/>
    </w:rPr>
  </w:style>
  <w:style w:type="paragraph" w:styleId="Heading2">
    <w:name w:val="heading 2"/>
    <w:basedOn w:val="Normal"/>
    <w:next w:val="Normal"/>
    <w:link w:val="Heading2Char"/>
    <w:autoRedefine/>
    <w:uiPriority w:val="9"/>
    <w:unhideWhenUsed/>
    <w:qFormat/>
    <w:rsid w:val="00200387"/>
    <w:pPr>
      <w:keepNext/>
      <w:keepLines/>
      <w:numPr>
        <w:ilvl w:val="1"/>
        <w:numId w:val="31"/>
      </w:numPr>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autoRedefine/>
    <w:uiPriority w:val="9"/>
    <w:unhideWhenUsed/>
    <w:qFormat/>
    <w:rsid w:val="00200387"/>
    <w:pPr>
      <w:keepNext/>
      <w:keepLines/>
      <w:numPr>
        <w:ilvl w:val="2"/>
        <w:numId w:val="30"/>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5F01EB"/>
    <w:pPr>
      <w:keepNext/>
      <w:keepLines/>
      <w:numPr>
        <w:ilvl w:val="3"/>
        <w:numId w:val="30"/>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29794F"/>
    <w:pPr>
      <w:keepNext/>
      <w:keepLines/>
      <w:numPr>
        <w:ilvl w:val="4"/>
        <w:numId w:val="30"/>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DA5B0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5B0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5B0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5B0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200387"/>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200387"/>
    <w:rPr>
      <w:rFonts w:asciiTheme="majorHAnsi" w:eastAsiaTheme="majorEastAsia" w:hAnsiTheme="majorHAnsi" w:cstheme="majorBidi"/>
      <w:b/>
      <w:color w:val="0F4761" w:themeColor="accent1" w:themeShade="BF"/>
      <w:sz w:val="20"/>
      <w:szCs w:val="32"/>
      <w:lang w:val="en-GB"/>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CF5FCE"/>
    <w:pPr>
      <w:spacing w:before="120" w:after="0"/>
    </w:pPr>
    <w:rPr>
      <w:rFonts w:asciiTheme="majorHAnsi" w:hAnsiTheme="majorHAnsi"/>
      <w:b/>
      <w:bCs/>
      <w:caps/>
      <w:sz w:val="24"/>
    </w:rPr>
  </w:style>
  <w:style w:type="paragraph" w:styleId="TOC2">
    <w:name w:val="toc 2"/>
    <w:basedOn w:val="Normal"/>
    <w:next w:val="Normal"/>
    <w:autoRedefine/>
    <w:uiPriority w:val="39"/>
    <w:unhideWhenUsed/>
    <w:qFormat/>
    <w:rsid w:val="00CF5FCE"/>
    <w:pPr>
      <w:spacing w:before="60" w:after="0"/>
    </w:pPr>
    <w:rPr>
      <w:b/>
      <w:bCs/>
      <w:szCs w:val="20"/>
    </w:rPr>
  </w:style>
  <w:style w:type="character" w:customStyle="1" w:styleId="Heading6Char">
    <w:name w:val="Heading 6 Char"/>
    <w:basedOn w:val="DefaultParagraphFont"/>
    <w:link w:val="Heading6"/>
    <w:uiPriority w:val="9"/>
    <w:semiHidden/>
    <w:rsid w:val="00DA5B0A"/>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DA5B0A"/>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DA5B0A"/>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DA5B0A"/>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DA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B0A"/>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DA5B0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B0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A5B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5B0A"/>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DA5B0A"/>
    <w:pPr>
      <w:ind w:left="720"/>
      <w:contextualSpacing/>
    </w:pPr>
  </w:style>
  <w:style w:type="character" w:styleId="IntenseEmphasis">
    <w:name w:val="Intense Emphasis"/>
    <w:basedOn w:val="DefaultParagraphFont"/>
    <w:uiPriority w:val="21"/>
    <w:qFormat/>
    <w:rsid w:val="00DA5B0A"/>
    <w:rPr>
      <w:i/>
      <w:iCs/>
      <w:color w:val="0F4761" w:themeColor="accent1" w:themeShade="BF"/>
    </w:rPr>
  </w:style>
  <w:style w:type="paragraph" w:styleId="IntenseQuote">
    <w:name w:val="Intense Quote"/>
    <w:basedOn w:val="Normal"/>
    <w:next w:val="Normal"/>
    <w:link w:val="IntenseQuoteChar"/>
    <w:uiPriority w:val="30"/>
    <w:qFormat/>
    <w:rsid w:val="00DA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5B0A"/>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DA5B0A"/>
    <w:rPr>
      <w:b/>
      <w:bCs/>
      <w:smallCaps/>
      <w:color w:val="0F4761" w:themeColor="accent1" w:themeShade="BF"/>
      <w:spacing w:val="5"/>
    </w:rPr>
  </w:style>
  <w:style w:type="character" w:customStyle="1" w:styleId="css-1st60ou">
    <w:name w:val="css-1st60ou"/>
    <w:basedOn w:val="DefaultParagraphFont"/>
    <w:rsid w:val="00DA5B0A"/>
  </w:style>
  <w:style w:type="paragraph" w:customStyle="1" w:styleId="css-1l5amll">
    <w:name w:val="css-1l5amll"/>
    <w:basedOn w:val="Normal"/>
    <w:rsid w:val="00DA5B0A"/>
    <w:pPr>
      <w:spacing w:before="100" w:beforeAutospacing="1" w:after="100" w:afterAutospacing="1" w:line="240" w:lineRule="auto"/>
    </w:pPr>
    <w:rPr>
      <w:rFonts w:ascii="Times New Roman" w:eastAsia="Times New Roman" w:hAnsi="Times New Roman"/>
      <w:sz w:val="24"/>
      <w:szCs w:val="24"/>
      <w:lang w:val="en-DE" w:eastAsia="en-GB"/>
    </w:rPr>
  </w:style>
  <w:style w:type="character" w:customStyle="1" w:styleId="apple-converted-space">
    <w:name w:val="apple-converted-space"/>
    <w:basedOn w:val="DefaultParagraphFont"/>
    <w:rsid w:val="00DA5B0A"/>
  </w:style>
  <w:style w:type="character" w:customStyle="1" w:styleId="ufinish">
    <w:name w:val="ufinish"/>
    <w:basedOn w:val="DefaultParagraphFont"/>
    <w:rsid w:val="00DA5B0A"/>
  </w:style>
  <w:style w:type="paragraph" w:styleId="NormalWeb">
    <w:name w:val="Normal (Web)"/>
    <w:basedOn w:val="Normal"/>
    <w:uiPriority w:val="99"/>
    <w:semiHidden/>
    <w:unhideWhenUsed/>
    <w:rsid w:val="00847C30"/>
    <w:pPr>
      <w:spacing w:before="100" w:beforeAutospacing="1" w:after="100" w:afterAutospacing="1" w:line="240" w:lineRule="auto"/>
    </w:pPr>
    <w:rPr>
      <w:rFonts w:ascii="Times New Roman" w:eastAsia="Times New Roman" w:hAnsi="Times New Roman"/>
      <w:sz w:val="24"/>
      <w:szCs w:val="24"/>
      <w:lang w:val="en-DE" w:eastAsia="en-GB"/>
    </w:rPr>
  </w:style>
  <w:style w:type="character" w:styleId="Hyperlink">
    <w:name w:val="Hyperlink"/>
    <w:basedOn w:val="DefaultParagraphFont"/>
    <w:uiPriority w:val="99"/>
    <w:unhideWhenUsed/>
    <w:rsid w:val="00B75034"/>
    <w:rPr>
      <w:color w:val="467886" w:themeColor="hyperlink"/>
      <w:u w:val="single"/>
    </w:rPr>
  </w:style>
  <w:style w:type="character" w:styleId="UnresolvedMention">
    <w:name w:val="Unresolved Mention"/>
    <w:basedOn w:val="DefaultParagraphFont"/>
    <w:uiPriority w:val="99"/>
    <w:semiHidden/>
    <w:unhideWhenUsed/>
    <w:rsid w:val="00B75034"/>
    <w:rPr>
      <w:color w:val="605E5C"/>
      <w:shd w:val="clear" w:color="auto" w:fill="E1DFDD"/>
    </w:rPr>
  </w:style>
  <w:style w:type="character" w:styleId="FollowedHyperlink">
    <w:name w:val="FollowedHyperlink"/>
    <w:basedOn w:val="DefaultParagraphFont"/>
    <w:uiPriority w:val="99"/>
    <w:semiHidden/>
    <w:unhideWhenUsed/>
    <w:rsid w:val="00B750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543561">
      <w:bodyDiv w:val="1"/>
      <w:marLeft w:val="0"/>
      <w:marRight w:val="0"/>
      <w:marTop w:val="0"/>
      <w:marBottom w:val="0"/>
      <w:divBdr>
        <w:top w:val="none" w:sz="0" w:space="0" w:color="auto"/>
        <w:left w:val="none" w:sz="0" w:space="0" w:color="auto"/>
        <w:bottom w:val="none" w:sz="0" w:space="0" w:color="auto"/>
        <w:right w:val="none" w:sz="0" w:space="0" w:color="auto"/>
      </w:divBdr>
    </w:div>
    <w:div w:id="2077697899">
      <w:bodyDiv w:val="1"/>
      <w:marLeft w:val="0"/>
      <w:marRight w:val="0"/>
      <w:marTop w:val="0"/>
      <w:marBottom w:val="0"/>
      <w:divBdr>
        <w:top w:val="none" w:sz="0" w:space="0" w:color="auto"/>
        <w:left w:val="none" w:sz="0" w:space="0" w:color="auto"/>
        <w:bottom w:val="none" w:sz="0" w:space="0" w:color="auto"/>
        <w:right w:val="none" w:sz="0" w:space="0" w:color="auto"/>
      </w:divBdr>
      <w:divsChild>
        <w:div w:id="651101953">
          <w:marLeft w:val="0"/>
          <w:marRight w:val="0"/>
          <w:marTop w:val="0"/>
          <w:marBottom w:val="0"/>
          <w:divBdr>
            <w:top w:val="none" w:sz="0" w:space="0" w:color="auto"/>
            <w:left w:val="none" w:sz="0" w:space="0" w:color="auto"/>
            <w:bottom w:val="none" w:sz="0" w:space="0" w:color="auto"/>
            <w:right w:val="none" w:sz="0" w:space="0" w:color="auto"/>
          </w:divBdr>
        </w:div>
        <w:div w:id="1045376029">
          <w:marLeft w:val="0"/>
          <w:marRight w:val="0"/>
          <w:marTop w:val="0"/>
          <w:marBottom w:val="0"/>
          <w:divBdr>
            <w:top w:val="none" w:sz="0" w:space="0" w:color="auto"/>
            <w:left w:val="none" w:sz="0" w:space="0" w:color="auto"/>
            <w:bottom w:val="none" w:sz="0" w:space="0" w:color="auto"/>
            <w:right w:val="none" w:sz="0" w:space="0" w:color="auto"/>
          </w:divBdr>
        </w:div>
        <w:div w:id="509179265">
          <w:marLeft w:val="0"/>
          <w:marRight w:val="0"/>
          <w:marTop w:val="0"/>
          <w:marBottom w:val="0"/>
          <w:divBdr>
            <w:top w:val="none" w:sz="0" w:space="0" w:color="auto"/>
            <w:left w:val="none" w:sz="0" w:space="0" w:color="auto"/>
            <w:bottom w:val="none" w:sz="0" w:space="0" w:color="auto"/>
            <w:right w:val="none" w:sz="0" w:space="0" w:color="auto"/>
          </w:divBdr>
          <w:divsChild>
            <w:div w:id="1083378169">
              <w:marLeft w:val="0"/>
              <w:marRight w:val="0"/>
              <w:marTop w:val="0"/>
              <w:marBottom w:val="0"/>
              <w:divBdr>
                <w:top w:val="none" w:sz="0" w:space="0" w:color="auto"/>
                <w:left w:val="none" w:sz="0" w:space="0" w:color="auto"/>
                <w:bottom w:val="none" w:sz="0" w:space="0" w:color="auto"/>
                <w:right w:val="none" w:sz="0" w:space="0" w:color="auto"/>
              </w:divBdr>
              <w:divsChild>
                <w:div w:id="149907994">
                  <w:marLeft w:val="0"/>
                  <w:marRight w:val="0"/>
                  <w:marTop w:val="0"/>
                  <w:marBottom w:val="0"/>
                  <w:divBdr>
                    <w:top w:val="none" w:sz="0" w:space="0" w:color="auto"/>
                    <w:left w:val="none" w:sz="0" w:space="0" w:color="auto"/>
                    <w:bottom w:val="none" w:sz="0" w:space="0" w:color="auto"/>
                    <w:right w:val="none" w:sz="0" w:space="0" w:color="auto"/>
                  </w:divBdr>
                  <w:divsChild>
                    <w:div w:id="1206719333">
                      <w:marLeft w:val="0"/>
                      <w:marRight w:val="0"/>
                      <w:marTop w:val="0"/>
                      <w:marBottom w:val="0"/>
                      <w:divBdr>
                        <w:top w:val="none" w:sz="0" w:space="0" w:color="auto"/>
                        <w:left w:val="none" w:sz="0" w:space="0" w:color="auto"/>
                        <w:bottom w:val="none" w:sz="0" w:space="0" w:color="auto"/>
                        <w:right w:val="none" w:sz="0" w:space="0" w:color="auto"/>
                      </w:divBdr>
                      <w:divsChild>
                        <w:div w:id="331954415">
                          <w:marLeft w:val="0"/>
                          <w:marRight w:val="0"/>
                          <w:marTop w:val="0"/>
                          <w:marBottom w:val="0"/>
                          <w:divBdr>
                            <w:top w:val="none" w:sz="0" w:space="0" w:color="auto"/>
                            <w:left w:val="none" w:sz="0" w:space="0" w:color="auto"/>
                            <w:bottom w:val="none" w:sz="0" w:space="0" w:color="auto"/>
                            <w:right w:val="none" w:sz="0" w:space="0" w:color="auto"/>
                          </w:divBdr>
                          <w:divsChild>
                            <w:div w:id="2001426508">
                              <w:marLeft w:val="0"/>
                              <w:marRight w:val="0"/>
                              <w:marTop w:val="0"/>
                              <w:marBottom w:val="0"/>
                              <w:divBdr>
                                <w:top w:val="none" w:sz="0" w:space="0" w:color="auto"/>
                                <w:left w:val="none" w:sz="0" w:space="0" w:color="auto"/>
                                <w:bottom w:val="none" w:sz="0" w:space="0" w:color="auto"/>
                                <w:right w:val="none" w:sz="0" w:space="0" w:color="auto"/>
                              </w:divBdr>
                            </w:div>
                            <w:div w:id="636036993">
                              <w:marLeft w:val="0"/>
                              <w:marRight w:val="0"/>
                              <w:marTop w:val="0"/>
                              <w:marBottom w:val="0"/>
                              <w:divBdr>
                                <w:top w:val="none" w:sz="0" w:space="0" w:color="auto"/>
                                <w:left w:val="none" w:sz="0" w:space="0" w:color="auto"/>
                                <w:bottom w:val="none" w:sz="0" w:space="0" w:color="auto"/>
                                <w:right w:val="none" w:sz="0" w:space="0" w:color="auto"/>
                              </w:divBdr>
                              <w:divsChild>
                                <w:div w:id="265041374">
                                  <w:marLeft w:val="0"/>
                                  <w:marRight w:val="0"/>
                                  <w:marTop w:val="0"/>
                                  <w:marBottom w:val="0"/>
                                  <w:divBdr>
                                    <w:top w:val="none" w:sz="0" w:space="0" w:color="auto"/>
                                    <w:left w:val="none" w:sz="0" w:space="0" w:color="auto"/>
                                    <w:bottom w:val="none" w:sz="0" w:space="0" w:color="auto"/>
                                    <w:right w:val="none" w:sz="0" w:space="0" w:color="auto"/>
                                  </w:divBdr>
                                  <w:divsChild>
                                    <w:div w:id="81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809563">
                  <w:marLeft w:val="0"/>
                  <w:marRight w:val="0"/>
                  <w:marTop w:val="0"/>
                  <w:marBottom w:val="0"/>
                  <w:divBdr>
                    <w:top w:val="none" w:sz="0" w:space="0" w:color="auto"/>
                    <w:left w:val="none" w:sz="0" w:space="0" w:color="auto"/>
                    <w:bottom w:val="none" w:sz="0" w:space="0" w:color="auto"/>
                    <w:right w:val="none" w:sz="0" w:space="0" w:color="auto"/>
                  </w:divBdr>
                  <w:divsChild>
                    <w:div w:id="581839929">
                      <w:marLeft w:val="0"/>
                      <w:marRight w:val="0"/>
                      <w:marTop w:val="0"/>
                      <w:marBottom w:val="0"/>
                      <w:divBdr>
                        <w:top w:val="none" w:sz="0" w:space="0" w:color="auto"/>
                        <w:left w:val="none" w:sz="0" w:space="0" w:color="auto"/>
                        <w:bottom w:val="none" w:sz="0" w:space="0" w:color="auto"/>
                        <w:right w:val="none" w:sz="0" w:space="0" w:color="auto"/>
                      </w:divBdr>
                      <w:divsChild>
                        <w:div w:id="1052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conomist.com/by-invitation/2025/04/10/to-keep-on-top-of-ai-focus-on-the-points-where-it-touches-the-outside-world-writes-martin-chavez"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1775</Words>
  <Characters>11769</Characters>
  <Application>Microsoft Office Word</Application>
  <DocSecurity>0</DocSecurity>
  <Lines>261</Lines>
  <Paragraphs>78</Paragraphs>
  <ScaleCrop>false</ScaleCrop>
  <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3</cp:revision>
  <dcterms:created xsi:type="dcterms:W3CDTF">2025-05-11T08:58:00Z</dcterms:created>
  <dcterms:modified xsi:type="dcterms:W3CDTF">2025-05-11T08:59:00Z</dcterms:modified>
</cp:coreProperties>
</file>